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u w:val="single"/>
          <w:lang w:val="ca-ES"/>
        </w:rPr>
      </w:pPr>
      <w:r>
        <w:rPr>
          <w:rFonts w:cs="Arial" w:ascii="Arial" w:hAnsi="Arial"/>
          <w:b/>
          <w:u w:val="single"/>
          <w:lang w:val="ca-ES"/>
        </w:rPr>
        <w:t>Part de Tresoreria- Tributs</w:t>
      </w:r>
    </w:p>
    <w:p>
      <w:pPr>
        <w:pStyle w:val="Normal"/>
        <w:jc w:val="both"/>
        <w:rPr>
          <w:rFonts w:ascii="Arial" w:hAnsi="Arial" w:cs="Arial"/>
          <w:lang w:val="ca-ES"/>
        </w:rPr>
      </w:pPr>
      <w:r>
        <w:rPr>
          <w:rFonts w:cs="Arial" w:ascii="Arial" w:hAnsi="Arial"/>
          <w:lang w:val="ca-ES"/>
        </w:rPr>
        <w:t>L’Ajuntament és propietari de 4 béns immobles: la Casa consistorial, que acull la totalitat dels serveis municipals, un local comercial que va obtenir a títol d’herència, i un habitatge adquirit mitjançant compravenda, i un aparcament soterrat.</w:t>
      </w:r>
    </w:p>
    <w:p>
      <w:pPr>
        <w:pStyle w:val="Normal"/>
        <w:jc w:val="both"/>
        <w:rPr>
          <w:rFonts w:ascii="Arial" w:hAnsi="Arial" w:cs="Arial"/>
          <w:lang w:val="ca-ES"/>
        </w:rPr>
      </w:pPr>
      <w:r>
        <w:rPr>
          <w:rFonts w:cs="Arial" w:ascii="Arial" w:hAnsi="Arial"/>
          <w:lang w:val="ca-ES"/>
        </w:rPr>
        <w:t xml:space="preserve">L’any passat, el local, que té qualificació de bé patrimonial, va ser arrendat a un particular per desenvolupar una activitat de venda de tèxtil, amb una quota mensual de 350 euros. </w:t>
      </w:r>
    </w:p>
    <w:p>
      <w:pPr>
        <w:pStyle w:val="Normal"/>
        <w:jc w:val="both"/>
        <w:rPr>
          <w:rFonts w:ascii="Arial" w:hAnsi="Arial" w:cs="Arial"/>
          <w:lang w:val="ca-ES"/>
        </w:rPr>
      </w:pPr>
      <w:r>
        <w:rPr>
          <w:rFonts w:cs="Arial" w:ascii="Arial" w:hAnsi="Arial"/>
          <w:lang w:val="ca-ES"/>
        </w:rPr>
        <w:t>L’habitatge, en canvi,</w:t>
      </w:r>
      <w:r>
        <w:rPr/>
        <w:t xml:space="preserve"> </w:t>
      </w:r>
      <w:r>
        <w:rPr>
          <w:rFonts w:cs="Arial" w:ascii="Arial" w:hAnsi="Arial"/>
          <w:lang w:val="ca-ES"/>
        </w:rPr>
        <w:t>va ésser objecte de cessió gratuïta a una entitat sense ànim de lucre per un termini de 10 anys, la qual destina l’immoble a acollir persones sense sostre.</w:t>
      </w:r>
    </w:p>
    <w:p>
      <w:pPr>
        <w:pStyle w:val="Normal"/>
        <w:jc w:val="both"/>
        <w:rPr>
          <w:rFonts w:ascii="Arial" w:hAnsi="Arial" w:cs="Arial"/>
          <w:lang w:val="ca-ES"/>
        </w:rPr>
      </w:pPr>
      <w:r>
        <w:rPr>
          <w:rFonts w:cs="Arial" w:ascii="Arial" w:hAnsi="Arial"/>
          <w:lang w:val="ca-ES"/>
        </w:rPr>
        <w:t>Pel que fa a l’aparcament, qualificat com a bé de domini públic afecte a servei públic, disposa de 25 places, totes elles degudament segregades, de les quals 10 han estat objecte de concessió a 50 anys, i 15 es troben cedides a tercers en règim de pupil·latge, els quals abonen una taxa mensual de 60 euros.</w:t>
      </w:r>
    </w:p>
    <w:p>
      <w:pPr>
        <w:pStyle w:val="Normal"/>
        <w:jc w:val="both"/>
        <w:rPr>
          <w:rFonts w:ascii="Arial" w:hAnsi="Arial" w:cs="Arial"/>
          <w:lang w:val="ca-ES"/>
        </w:rPr>
      </w:pPr>
      <w:r>
        <w:rPr>
          <w:rFonts w:cs="Arial" w:ascii="Arial" w:hAnsi="Arial"/>
          <w:lang w:val="ca-ES"/>
        </w:rPr>
        <w:t>Durant el mes de març de 2026, el departament de Tributs inicia la tramitació de l’expedient de modificació de l’ordenança fiscal de la taxa de recollida de residus amb l’objectiu d’incrementar el seu import amb caràcter general i revisar el règim de beneficis fiscals.</w:t>
      </w:r>
    </w:p>
    <w:p>
      <w:pPr>
        <w:pStyle w:val="Normal"/>
        <w:jc w:val="both"/>
        <w:rPr>
          <w:rFonts w:ascii="Arial" w:hAnsi="Arial" w:cs="Arial"/>
          <w:lang w:val="ca-ES"/>
        </w:rPr>
      </w:pPr>
      <w:r>
        <w:rPr>
          <w:rFonts w:cs="Arial" w:ascii="Arial" w:hAnsi="Arial"/>
          <w:lang w:val="ca-ES"/>
        </w:rPr>
        <w:t>El padró anual de la taxa de recollida de residus es forma el mes de setembre de cada any i es posa al cobrament entre els dies 30 d’octubre i 30 de desembre.</w:t>
      </w:r>
    </w:p>
    <w:p>
      <w:pPr>
        <w:pStyle w:val="Normal"/>
        <w:jc w:val="both"/>
        <w:rPr>
          <w:rFonts w:ascii="Arial" w:hAnsi="Arial" w:cs="Arial"/>
          <w:lang w:val="ca-ES"/>
        </w:rPr>
      </w:pPr>
      <w:r>
        <w:rPr>
          <w:rFonts w:cs="Arial" w:ascii="Arial" w:hAnsi="Arial"/>
          <w:lang w:val="ca-ES"/>
        </w:rPr>
        <w:t>Es demana que</w:t>
      </w:r>
      <w:r>
        <w:rPr>
          <w:rFonts w:cs="Arial" w:ascii="Arial" w:hAnsi="Arial"/>
          <w:u w:val="single"/>
          <w:lang w:val="ca-ES"/>
        </w:rPr>
        <w:t>, de forma raonada</w:t>
      </w:r>
      <w:r>
        <w:rPr>
          <w:rFonts w:cs="Arial" w:ascii="Arial" w:hAnsi="Arial"/>
          <w:lang w:val="ca-ES"/>
        </w:rPr>
        <w:t>, respongueu a les següents preguntes:</w:t>
      </w:r>
    </w:p>
    <w:p>
      <w:pPr>
        <w:pStyle w:val="ListParagraph"/>
        <w:numPr>
          <w:ilvl w:val="0"/>
          <w:numId w:val="1"/>
        </w:numPr>
        <w:jc w:val="both"/>
        <w:rPr>
          <w:rFonts w:ascii="Arial" w:hAnsi="Arial" w:cs="Arial"/>
          <w:lang w:val="ca-ES"/>
        </w:rPr>
      </w:pPr>
      <w:r>
        <w:rPr>
          <w:rFonts w:cs="Arial" w:ascii="Arial" w:hAnsi="Arial"/>
          <w:lang w:val="ca-ES"/>
        </w:rPr>
        <w:t>Indicar per cadascun dels béns immobles enumerats en l’enunciat si estan o no subjectes a l’Impost sobre Béns Immobles (IBI) (3</w:t>
      </w:r>
      <w:r>
        <w:rPr>
          <w:rFonts w:cs="Arial" w:ascii="Arial" w:hAnsi="Arial"/>
          <w:u w:val="single"/>
          <w:lang w:val="ca-ES"/>
        </w:rPr>
        <w:t xml:space="preserve"> punts</w:t>
      </w:r>
      <w:r>
        <w:rPr>
          <w:rFonts w:cs="Arial" w:ascii="Arial" w:hAnsi="Arial"/>
          <w:lang w:val="ca-ES"/>
        </w:rPr>
        <w:t>)</w:t>
      </w:r>
    </w:p>
    <w:p>
      <w:pPr>
        <w:pStyle w:val="ListParagraph"/>
        <w:jc w:val="both"/>
        <w:rPr>
          <w:rFonts w:ascii="Arial" w:hAnsi="Arial" w:cs="Arial"/>
          <w:lang w:val="ca-ES"/>
        </w:rPr>
      </w:pPr>
      <w:r>
        <w:rPr>
          <w:rFonts w:cs="Arial" w:ascii="Arial" w:hAnsi="Arial"/>
          <w:lang w:val="ca-ES"/>
        </w:rPr>
      </w:r>
    </w:p>
    <w:p>
      <w:pPr>
        <w:pStyle w:val="ListParagraph"/>
        <w:numPr>
          <w:ilvl w:val="0"/>
          <w:numId w:val="2"/>
        </w:numPr>
        <w:jc w:val="both"/>
        <w:rPr>
          <w:rFonts w:ascii="Arial" w:hAnsi="Arial" w:cs="Arial"/>
          <w:lang w:val="ca-ES"/>
        </w:rPr>
      </w:pPr>
      <w:r>
        <w:rPr>
          <w:rFonts w:cs="Arial" w:ascii="Arial" w:hAnsi="Arial"/>
          <w:lang w:val="ca-ES"/>
        </w:rPr>
        <w:t>Casa consistorial: no subjecte</w:t>
      </w:r>
    </w:p>
    <w:p>
      <w:pPr>
        <w:pStyle w:val="ListParagraph"/>
        <w:numPr>
          <w:ilvl w:val="0"/>
          <w:numId w:val="2"/>
        </w:numPr>
        <w:jc w:val="both"/>
        <w:rPr>
          <w:rFonts w:ascii="Arial" w:hAnsi="Arial" w:cs="Arial"/>
          <w:lang w:val="ca-ES"/>
        </w:rPr>
      </w:pPr>
      <w:r>
        <w:rPr>
          <w:rFonts w:cs="Arial" w:ascii="Arial" w:hAnsi="Arial"/>
          <w:lang w:val="ca-ES"/>
        </w:rPr>
        <w:t>Local comercial: subjecte</w:t>
      </w:r>
    </w:p>
    <w:p>
      <w:pPr>
        <w:pStyle w:val="ListParagraph"/>
        <w:numPr>
          <w:ilvl w:val="0"/>
          <w:numId w:val="2"/>
        </w:numPr>
        <w:jc w:val="both"/>
        <w:rPr>
          <w:rFonts w:ascii="Arial" w:hAnsi="Arial" w:cs="Arial"/>
          <w:lang w:val="ca-ES"/>
        </w:rPr>
      </w:pPr>
      <w:r>
        <w:rPr>
          <w:rFonts w:cs="Arial" w:ascii="Arial" w:hAnsi="Arial"/>
          <w:lang w:val="ca-ES"/>
        </w:rPr>
        <w:t>Habitatge: subjecte</w:t>
      </w:r>
    </w:p>
    <w:p>
      <w:pPr>
        <w:pStyle w:val="ListParagraph"/>
        <w:numPr>
          <w:ilvl w:val="0"/>
          <w:numId w:val="2"/>
        </w:numPr>
        <w:jc w:val="both"/>
        <w:rPr>
          <w:rFonts w:ascii="Arial" w:hAnsi="Arial" w:cs="Arial"/>
          <w:lang w:val="ca-ES"/>
        </w:rPr>
      </w:pPr>
      <w:r>
        <w:rPr>
          <w:rFonts w:cs="Arial" w:ascii="Arial" w:hAnsi="Arial"/>
          <w:lang w:val="ca-ES"/>
        </w:rPr>
        <w:t>Aparcament: subjecte, tant les places de pupil·latge com les concessió.</w:t>
      </w:r>
    </w:p>
    <w:p>
      <w:pPr>
        <w:pStyle w:val="ListParagraph"/>
        <w:jc w:val="both"/>
        <w:rPr>
          <w:rFonts w:ascii="Arial" w:hAnsi="Arial" w:cs="Arial"/>
          <w:lang w:val="ca-ES"/>
        </w:rPr>
      </w:pPr>
      <w:r>
        <w:rPr>
          <w:rFonts w:cs="Arial" w:ascii="Arial" w:hAnsi="Arial"/>
          <w:lang w:val="ca-ES"/>
        </w:rPr>
      </w:r>
    </w:p>
    <w:p>
      <w:pPr>
        <w:pStyle w:val="ListParagraph"/>
        <w:jc w:val="both"/>
        <w:rPr>
          <w:rFonts w:ascii="Arial" w:hAnsi="Arial" w:cs="Arial"/>
          <w:i/>
          <w:i/>
          <w:color w:val="FF0000"/>
          <w:lang w:val="ca-ES"/>
        </w:rPr>
      </w:pPr>
      <w:r>
        <w:rPr>
          <w:rFonts w:cs="Arial" w:ascii="Arial" w:hAnsi="Arial"/>
          <w:i/>
          <w:color w:val="FF0000"/>
          <w:lang w:val="ca-ES"/>
        </w:rPr>
        <w:t xml:space="preserve">Article 61.5 TRLHL: No estan subjectes els béns immobles de propietat del municipi en que estiguin enclavats els de domini públic afectes a ús públic, els de domini públic afectes a un servei gestionat directament per l’ajuntament, llevat que es tracti d’immobles cedits a tercers mitjançant contraprestació, i els patrimonials, llevat que estiguin cedits a tercers mitjançant contraprestació. </w:t>
      </w:r>
    </w:p>
    <w:p>
      <w:pPr>
        <w:pStyle w:val="ListParagraph"/>
        <w:jc w:val="both"/>
        <w:rPr>
          <w:rFonts w:ascii="Arial" w:hAnsi="Arial" w:cs="Arial"/>
          <w:lang w:val="ca-ES"/>
        </w:rPr>
      </w:pPr>
      <w:r>
        <w:rPr>
          <w:rFonts w:cs="Arial" w:ascii="Arial" w:hAnsi="Arial"/>
          <w:lang w:val="ca-ES"/>
        </w:rPr>
      </w:r>
    </w:p>
    <w:p>
      <w:pPr>
        <w:pStyle w:val="ListParagraph"/>
        <w:numPr>
          <w:ilvl w:val="0"/>
          <w:numId w:val="1"/>
        </w:numPr>
        <w:jc w:val="both"/>
        <w:rPr>
          <w:rFonts w:ascii="Arial" w:hAnsi="Arial" w:cs="Arial"/>
          <w:lang w:val="ca-ES"/>
        </w:rPr>
      </w:pPr>
      <w:r>
        <w:rPr>
          <w:rFonts w:cs="Arial" w:ascii="Arial" w:hAnsi="Arial"/>
          <w:lang w:val="ca-ES"/>
        </w:rPr>
        <w:t xml:space="preserve">Per cadascun d’aquests immobles de titularitat municipal, qui és el subjecte passiu de l’IBI ? I de la taxa de recollida de residus? (3 </w:t>
      </w:r>
      <w:r>
        <w:rPr>
          <w:rFonts w:cs="Arial" w:ascii="Arial" w:hAnsi="Arial"/>
          <w:u w:val="single"/>
          <w:lang w:val="ca-ES"/>
        </w:rPr>
        <w:t>punts)</w:t>
      </w:r>
    </w:p>
    <w:p>
      <w:pPr>
        <w:pStyle w:val="ListParagraph"/>
        <w:jc w:val="both"/>
        <w:rPr>
          <w:rFonts w:ascii="Arial" w:hAnsi="Arial" w:cs="Arial"/>
          <w:u w:val="single"/>
          <w:lang w:val="ca-ES"/>
        </w:rPr>
      </w:pPr>
      <w:r>
        <w:rPr>
          <w:rFonts w:cs="Arial" w:ascii="Arial" w:hAnsi="Arial"/>
          <w:u w:val="single"/>
          <w:lang w:val="ca-ES"/>
        </w:rPr>
      </w:r>
    </w:p>
    <w:p>
      <w:pPr>
        <w:pStyle w:val="ListParagraph"/>
        <w:jc w:val="both"/>
        <w:rPr>
          <w:rFonts w:ascii="Arial" w:hAnsi="Arial" w:cs="Arial"/>
          <w:i/>
          <w:i/>
          <w:color w:val="FF0000"/>
          <w:lang w:val="ca-ES"/>
        </w:rPr>
      </w:pPr>
      <w:r>
        <w:rPr>
          <w:rFonts w:cs="Arial" w:ascii="Arial" w:hAnsi="Arial"/>
          <w:i/>
          <w:color w:val="FF0000"/>
          <w:lang w:val="ca-ES"/>
        </w:rPr>
        <w:t>D’acord amb els articles 61 i 63 del TRLHL el subjecte passiu de l’IBI a títol de contribuent és l’Ajuntament, com a titular d’un dret de propietat, en els casos de:</w:t>
      </w:r>
    </w:p>
    <w:p>
      <w:pPr>
        <w:pStyle w:val="ListParagraph"/>
        <w:numPr>
          <w:ilvl w:val="0"/>
          <w:numId w:val="2"/>
        </w:numPr>
        <w:jc w:val="both"/>
        <w:rPr>
          <w:rFonts w:ascii="Arial" w:hAnsi="Arial" w:cs="Arial"/>
          <w:i/>
          <w:i/>
          <w:color w:val="FF0000"/>
          <w:lang w:val="ca-ES"/>
        </w:rPr>
      </w:pPr>
      <w:r>
        <w:rPr>
          <w:rFonts w:cs="Arial" w:ascii="Arial" w:hAnsi="Arial"/>
          <w:i/>
          <w:color w:val="FF0000"/>
          <w:lang w:val="ca-ES"/>
        </w:rPr>
        <w:t>Casa consistorial</w:t>
      </w:r>
    </w:p>
    <w:p>
      <w:pPr>
        <w:pStyle w:val="ListParagraph"/>
        <w:numPr>
          <w:ilvl w:val="0"/>
          <w:numId w:val="2"/>
        </w:numPr>
        <w:jc w:val="both"/>
        <w:rPr>
          <w:rFonts w:ascii="Arial" w:hAnsi="Arial" w:cs="Arial"/>
          <w:i/>
          <w:i/>
          <w:color w:val="FF0000"/>
          <w:lang w:val="ca-ES"/>
        </w:rPr>
      </w:pPr>
      <w:r>
        <w:rPr>
          <w:rFonts w:cs="Arial" w:ascii="Arial" w:hAnsi="Arial"/>
          <w:i/>
          <w:color w:val="FF0000"/>
          <w:lang w:val="ca-ES"/>
        </w:rPr>
        <w:t>Local comercial</w:t>
      </w:r>
    </w:p>
    <w:p>
      <w:pPr>
        <w:pStyle w:val="ListParagraph"/>
        <w:numPr>
          <w:ilvl w:val="0"/>
          <w:numId w:val="2"/>
        </w:numPr>
        <w:jc w:val="both"/>
        <w:rPr>
          <w:rFonts w:ascii="Arial" w:hAnsi="Arial" w:cs="Arial"/>
          <w:i/>
          <w:i/>
          <w:color w:val="FF0000"/>
          <w:lang w:val="ca-ES"/>
        </w:rPr>
      </w:pPr>
      <w:r>
        <w:rPr>
          <w:rFonts w:cs="Arial" w:ascii="Arial" w:hAnsi="Arial"/>
          <w:i/>
          <w:color w:val="FF0000"/>
          <w:lang w:val="ca-ES"/>
        </w:rPr>
        <w:t>Habitatge</w:t>
      </w:r>
    </w:p>
    <w:p>
      <w:pPr>
        <w:pStyle w:val="ListParagraph"/>
        <w:numPr>
          <w:ilvl w:val="0"/>
          <w:numId w:val="2"/>
        </w:numPr>
        <w:jc w:val="both"/>
        <w:rPr>
          <w:rFonts w:ascii="Arial" w:hAnsi="Arial" w:cs="Arial"/>
          <w:i/>
          <w:i/>
          <w:color w:val="FF0000"/>
          <w:lang w:val="ca-ES"/>
        </w:rPr>
      </w:pPr>
      <w:r>
        <w:rPr>
          <w:rFonts w:cs="Arial" w:ascii="Arial" w:hAnsi="Arial"/>
          <w:i/>
          <w:color w:val="FF0000"/>
          <w:lang w:val="ca-ES"/>
        </w:rPr>
        <w:t xml:space="preserve">Places de l’aparcament en pupil·latge </w:t>
      </w:r>
    </w:p>
    <w:p>
      <w:pPr>
        <w:pStyle w:val="Normal"/>
        <w:ind w:left="720" w:hanging="0"/>
        <w:jc w:val="both"/>
        <w:rPr>
          <w:rFonts w:ascii="Arial" w:hAnsi="Arial" w:cs="Arial"/>
          <w:i/>
          <w:i/>
          <w:color w:val="FF0000"/>
          <w:lang w:val="ca-ES"/>
        </w:rPr>
      </w:pPr>
      <w:r>
        <w:rPr>
          <w:rFonts w:cs="Arial" w:ascii="Arial" w:hAnsi="Arial"/>
          <w:i/>
          <w:color w:val="FF0000"/>
          <w:lang w:val="ca-ES"/>
        </w:rPr>
        <w:t>En el cas de les places d’aparcament en concessió, el subjecte passiu de l’IBI a títol de contribuent són els titulars del dret de concessió.</w:t>
      </w:r>
    </w:p>
    <w:p>
      <w:pPr>
        <w:pStyle w:val="Normal"/>
        <w:ind w:left="720" w:hanging="0"/>
        <w:jc w:val="both"/>
        <w:rPr>
          <w:rFonts w:ascii="Arial" w:hAnsi="Arial" w:cs="Arial"/>
          <w:i/>
          <w:i/>
          <w:color w:val="FF0000"/>
          <w:lang w:val="ca-ES"/>
        </w:rPr>
      </w:pPr>
      <w:r>
        <w:rPr>
          <w:rFonts w:cs="Arial" w:ascii="Arial" w:hAnsi="Arial"/>
          <w:i/>
          <w:color w:val="FF0000"/>
          <w:lang w:val="ca-ES"/>
        </w:rPr>
        <w:t>En el cas de la taxa pel servei de recollida de residus, el subjecte passiu, a títol de substitut del contribuent, és el propietari dels béns immobles que ocupen els beneficiaris o afectats pel servei municipal (article 23.2 TRLHL). Per tant, el subjecte passiu de la taxa és l’Ajuntament en tots els casos.</w:t>
      </w:r>
    </w:p>
    <w:p>
      <w:pPr>
        <w:pStyle w:val="ListParagraph"/>
        <w:numPr>
          <w:ilvl w:val="0"/>
          <w:numId w:val="1"/>
        </w:numPr>
        <w:jc w:val="both"/>
        <w:rPr>
          <w:rFonts w:ascii="Arial" w:hAnsi="Arial" w:cs="Arial"/>
          <w:u w:val="single"/>
          <w:lang w:val="ca-ES"/>
        </w:rPr>
      </w:pPr>
      <w:r>
        <w:rPr>
          <w:rFonts w:cs="Arial" w:ascii="Arial" w:hAnsi="Arial"/>
          <w:lang w:val="ca-ES"/>
        </w:rPr>
        <w:t>L’eventual repercussió de les quotes en concepte d’IBI que, en el seu cas, hagi de satisfer el propi Ajuntament, requereix que prèviament s’hagi acordat entre les parts?  I en el cas de la taxa per recollida de residus? (2 punts</w:t>
      </w:r>
      <w:r>
        <w:rPr>
          <w:rFonts w:cs="Arial" w:ascii="Arial" w:hAnsi="Arial"/>
          <w:u w:val="single"/>
          <w:lang w:val="ca-ES"/>
        </w:rPr>
        <w:t>)</w:t>
      </w:r>
    </w:p>
    <w:p>
      <w:pPr>
        <w:pStyle w:val="ListParagraph"/>
        <w:jc w:val="both"/>
        <w:rPr>
          <w:rFonts w:ascii="Arial" w:hAnsi="Arial" w:cs="Arial"/>
          <w:lang w:val="ca-ES"/>
        </w:rPr>
      </w:pPr>
      <w:r>
        <w:rPr>
          <w:rFonts w:cs="Arial" w:ascii="Arial" w:hAnsi="Arial"/>
          <w:lang w:val="ca-ES"/>
        </w:rPr>
      </w:r>
    </w:p>
    <w:p>
      <w:pPr>
        <w:pStyle w:val="ListParagraph"/>
        <w:jc w:val="both"/>
        <w:rPr>
          <w:rFonts w:ascii="Arial" w:hAnsi="Arial" w:cs="Arial"/>
          <w:i/>
          <w:i/>
          <w:color w:val="FF0000"/>
          <w:lang w:val="ca-ES"/>
        </w:rPr>
      </w:pPr>
      <w:r>
        <w:rPr>
          <w:rFonts w:cs="Arial" w:ascii="Arial" w:hAnsi="Arial"/>
          <w:i/>
          <w:color w:val="FF0000"/>
          <w:lang w:val="ca-ES"/>
        </w:rPr>
        <w:t>L’Ajuntament té l’obligació legal de repercutir les quotes de l’IBI dels immobles demanials o patrimonials dels quals és titular i que tenen la condició de subjectes a l’impost als terces que tenen cedits l’immoble mitjançant contraprestació (Art.63.2 TRLHL).</w:t>
      </w:r>
    </w:p>
    <w:p>
      <w:pPr>
        <w:pStyle w:val="ListParagraph"/>
        <w:jc w:val="both"/>
        <w:rPr>
          <w:rFonts w:ascii="Arial" w:hAnsi="Arial" w:cs="Arial"/>
          <w:i/>
          <w:i/>
          <w:color w:val="FF0000"/>
          <w:lang w:val="ca-ES"/>
        </w:rPr>
      </w:pPr>
      <w:r>
        <w:rPr>
          <w:rFonts w:cs="Arial" w:ascii="Arial" w:hAnsi="Arial"/>
          <w:i/>
          <w:color w:val="FF0000"/>
          <w:lang w:val="ca-ES"/>
        </w:rPr>
      </w:r>
    </w:p>
    <w:p>
      <w:pPr>
        <w:pStyle w:val="ListParagraph"/>
        <w:jc w:val="both"/>
        <w:rPr>
          <w:rFonts w:ascii="Arial" w:hAnsi="Arial" w:cs="Arial"/>
          <w:i/>
          <w:i/>
          <w:color w:val="FF0000"/>
          <w:u w:val="single"/>
          <w:lang w:val="ca-ES"/>
        </w:rPr>
      </w:pPr>
      <w:r>
        <w:rPr>
          <w:rFonts w:cs="Arial" w:ascii="Arial" w:hAnsi="Arial"/>
          <w:i/>
          <w:color w:val="FF0000"/>
          <w:lang w:val="ca-ES"/>
        </w:rPr>
        <w:t>L’Ajuntament té la possibilitat de repercutir les quotes de la taxa segons art. 23.2.aTRLHL. S’entén que cal pacte entre les parts.</w:t>
      </w:r>
    </w:p>
    <w:p>
      <w:pPr>
        <w:pStyle w:val="ListParagraph"/>
        <w:jc w:val="both"/>
        <w:rPr>
          <w:rFonts w:ascii="Arial" w:hAnsi="Arial" w:cs="Arial"/>
          <w:u w:val="single"/>
          <w:lang w:val="ca-ES"/>
        </w:rPr>
      </w:pPr>
      <w:r>
        <w:rPr>
          <w:rFonts w:cs="Arial" w:ascii="Arial" w:hAnsi="Arial"/>
          <w:u w:val="single"/>
          <w:lang w:val="ca-ES"/>
        </w:rPr>
      </w:r>
    </w:p>
    <w:p>
      <w:pPr>
        <w:pStyle w:val="ListParagraph"/>
        <w:numPr>
          <w:ilvl w:val="0"/>
          <w:numId w:val="1"/>
        </w:numPr>
        <w:jc w:val="both"/>
        <w:rPr>
          <w:rFonts w:ascii="Arial" w:hAnsi="Arial" w:cs="Arial"/>
          <w:u w:val="single"/>
          <w:lang w:val="ca-ES"/>
        </w:rPr>
      </w:pPr>
      <w:r>
        <w:rPr>
          <w:rFonts w:cs="Arial" w:ascii="Arial" w:hAnsi="Arial"/>
          <w:lang w:val="ca-ES"/>
        </w:rPr>
        <w:t xml:space="preserve">Quina seria la naturalesa jurídica dels deutes derivats de l’eventual repercussió, per part de l’Ajuntament, de les quotes d’IBI o taxa per recollida de residus als tercers que tenen cedits els immobles? Podrien ésser exigits en via de constrenyiment? </w:t>
      </w:r>
      <w:r>
        <w:rPr>
          <w:rFonts w:cs="Arial" w:ascii="Arial" w:hAnsi="Arial"/>
          <w:u w:val="single"/>
          <w:lang w:val="ca-ES"/>
        </w:rPr>
        <w:t>(2 punts)</w:t>
      </w:r>
    </w:p>
    <w:p>
      <w:pPr>
        <w:pStyle w:val="ListParagraph"/>
        <w:jc w:val="both"/>
        <w:rPr>
          <w:rFonts w:ascii="Arial" w:hAnsi="Arial" w:cs="Arial"/>
          <w:u w:val="single"/>
          <w:lang w:val="ca-ES"/>
        </w:rPr>
      </w:pPr>
      <w:r>
        <w:rPr>
          <w:rFonts w:cs="Arial" w:ascii="Arial" w:hAnsi="Arial"/>
          <w:u w:val="single"/>
          <w:lang w:val="ca-ES"/>
        </w:rPr>
      </w:r>
    </w:p>
    <w:p>
      <w:pPr>
        <w:pStyle w:val="ListParagraph"/>
        <w:jc w:val="both"/>
        <w:rPr>
          <w:rFonts w:ascii="Arial" w:hAnsi="Arial" w:cs="Arial"/>
          <w:i/>
          <w:i/>
          <w:color w:val="FF0000"/>
          <w:lang w:val="ca-ES"/>
        </w:rPr>
      </w:pPr>
      <w:r>
        <w:rPr>
          <w:rFonts w:cs="Arial" w:ascii="Arial" w:hAnsi="Arial"/>
          <w:i/>
          <w:color w:val="FF0000"/>
          <w:lang w:val="ca-ES"/>
        </w:rPr>
        <w:t xml:space="preserve">Són ingressos públic de dret privat. </w:t>
      </w:r>
    </w:p>
    <w:p>
      <w:pPr>
        <w:pStyle w:val="ListParagraph"/>
        <w:jc w:val="both"/>
        <w:rPr>
          <w:rFonts w:ascii="Arial" w:hAnsi="Arial" w:cs="Arial"/>
          <w:i/>
          <w:i/>
          <w:color w:val="FF0000"/>
          <w:lang w:val="ca-ES"/>
        </w:rPr>
      </w:pPr>
      <w:r>
        <w:rPr>
          <w:rFonts w:cs="Arial" w:ascii="Arial" w:hAnsi="Arial"/>
          <w:i/>
          <w:color w:val="FF0000"/>
          <w:lang w:val="ca-ES"/>
        </w:rPr>
      </w:r>
    </w:p>
    <w:p>
      <w:pPr>
        <w:pStyle w:val="ListParagraph"/>
        <w:jc w:val="both"/>
        <w:rPr>
          <w:rFonts w:ascii="Arial" w:hAnsi="Arial" w:cs="Arial"/>
          <w:i/>
          <w:i/>
          <w:color w:val="FF0000"/>
          <w:lang w:val="ca-ES"/>
        </w:rPr>
      </w:pPr>
      <w:r>
        <w:rPr>
          <w:rFonts w:cs="Arial" w:ascii="Arial" w:hAnsi="Arial"/>
          <w:i/>
          <w:color w:val="FF0000"/>
          <w:lang w:val="ca-ES"/>
        </w:rPr>
        <w:t>No són exigibles per la via de constrenyiment.</w:t>
      </w:r>
    </w:p>
    <w:p>
      <w:pPr>
        <w:pStyle w:val="ListParagraph"/>
        <w:jc w:val="both"/>
        <w:rPr>
          <w:rFonts w:ascii="Arial" w:hAnsi="Arial" w:cs="Arial"/>
          <w:u w:val="single"/>
          <w:lang w:val="ca-ES"/>
        </w:rPr>
      </w:pPr>
      <w:r>
        <w:rPr>
          <w:rFonts w:cs="Arial" w:ascii="Arial" w:hAnsi="Arial"/>
          <w:u w:val="single"/>
          <w:lang w:val="ca-ES"/>
        </w:rPr>
      </w:r>
    </w:p>
    <w:p>
      <w:pPr>
        <w:pStyle w:val="ListParagraph"/>
        <w:numPr>
          <w:ilvl w:val="0"/>
          <w:numId w:val="1"/>
        </w:numPr>
        <w:jc w:val="both"/>
        <w:rPr>
          <w:rFonts w:ascii="Arial" w:hAnsi="Arial" w:cs="Arial"/>
          <w:u w:val="single"/>
          <w:lang w:val="ca-ES"/>
        </w:rPr>
      </w:pPr>
      <w:r>
        <w:rPr>
          <w:rFonts w:cs="Arial" w:ascii="Arial" w:hAnsi="Arial"/>
          <w:lang w:val="ca-ES"/>
        </w:rPr>
        <w:t xml:space="preserve">Podria l’Ajuntament establir a l’ordenança fiscal reguladora de la taxa per recollida de residus comercials una exempció a favor dels béns immobles dels quals ell mateix és el propietari? </w:t>
      </w:r>
      <w:r>
        <w:rPr>
          <w:rFonts w:cs="Arial" w:ascii="Arial" w:hAnsi="Arial"/>
          <w:u w:val="single"/>
          <w:lang w:val="ca-ES"/>
        </w:rPr>
        <w:t>(2 punts)</w:t>
      </w:r>
    </w:p>
    <w:p>
      <w:pPr>
        <w:pStyle w:val="ListParagraph"/>
        <w:jc w:val="both"/>
        <w:rPr>
          <w:rFonts w:ascii="Arial" w:hAnsi="Arial" w:cs="Arial"/>
          <w:u w:val="single"/>
          <w:lang w:val="ca-ES"/>
        </w:rPr>
      </w:pPr>
      <w:r>
        <w:rPr>
          <w:rFonts w:cs="Arial" w:ascii="Arial" w:hAnsi="Arial"/>
          <w:u w:val="single"/>
          <w:lang w:val="ca-ES"/>
        </w:rPr>
      </w:r>
    </w:p>
    <w:p>
      <w:pPr>
        <w:pStyle w:val="ListParagraph"/>
        <w:jc w:val="both"/>
        <w:rPr>
          <w:rFonts w:ascii="Arial" w:hAnsi="Arial" w:cs="Arial"/>
          <w:i/>
          <w:i/>
          <w:color w:val="FF0000"/>
          <w:lang w:val="ca-ES"/>
        </w:rPr>
      </w:pPr>
      <w:r>
        <w:rPr>
          <w:rFonts w:cs="Arial" w:ascii="Arial" w:hAnsi="Arial"/>
          <w:i/>
          <w:color w:val="FF0000"/>
          <w:lang w:val="ca-ES"/>
        </w:rPr>
        <w:t>El reconeixement de beneficis fiscals en tributs està subjecte al principi de reserva de Llei (article 8 LGT).</w:t>
      </w:r>
    </w:p>
    <w:p>
      <w:pPr>
        <w:pStyle w:val="ListParagraph"/>
        <w:jc w:val="both"/>
        <w:rPr>
          <w:rFonts w:ascii="Arial" w:hAnsi="Arial" w:cs="Arial"/>
          <w:i/>
          <w:i/>
          <w:color w:val="FF0000"/>
          <w:lang w:val="ca-ES"/>
        </w:rPr>
      </w:pPr>
      <w:r>
        <w:rPr>
          <w:rFonts w:cs="Arial" w:ascii="Arial" w:hAnsi="Arial"/>
          <w:i/>
          <w:color w:val="FF0000"/>
          <w:lang w:val="ca-ES"/>
        </w:rPr>
      </w:r>
    </w:p>
    <w:p>
      <w:pPr>
        <w:pStyle w:val="ListParagraph"/>
        <w:jc w:val="both"/>
        <w:rPr>
          <w:rFonts w:ascii="Arial" w:hAnsi="Arial" w:cs="Arial"/>
          <w:i/>
          <w:i/>
          <w:color w:val="FF0000"/>
          <w:lang w:val="ca-ES"/>
        </w:rPr>
      </w:pPr>
      <w:r>
        <w:rPr>
          <w:rFonts w:cs="Arial" w:ascii="Arial" w:hAnsi="Arial"/>
          <w:i/>
          <w:color w:val="FF0000"/>
          <w:lang w:val="ca-ES"/>
        </w:rPr>
        <w:t>En la regulació de llurs ordenances fiscals, les entitats locals només poden reconèixer els beneficis fiscals en que estiguin expressament previstos en la Llei (article 9.1 TRLHL).</w:t>
      </w:r>
    </w:p>
    <w:p>
      <w:pPr>
        <w:pStyle w:val="ListParagraph"/>
        <w:jc w:val="both"/>
        <w:rPr>
          <w:rFonts w:ascii="Arial" w:hAnsi="Arial" w:cs="Arial"/>
          <w:u w:val="single"/>
          <w:lang w:val="ca-ES"/>
        </w:rPr>
      </w:pPr>
      <w:r>
        <w:rPr>
          <w:rFonts w:cs="Arial" w:ascii="Arial" w:hAnsi="Arial"/>
          <w:u w:val="single"/>
          <w:lang w:val="ca-ES"/>
        </w:rPr>
      </w:r>
    </w:p>
    <w:p>
      <w:pPr>
        <w:pStyle w:val="ListParagraph"/>
        <w:jc w:val="both"/>
        <w:rPr>
          <w:rFonts w:ascii="Arial" w:hAnsi="Arial" w:cs="Arial"/>
          <w:u w:val="single"/>
          <w:lang w:val="ca-ES"/>
        </w:rPr>
      </w:pPr>
      <w:r>
        <w:rPr>
          <w:rFonts w:cs="Arial" w:ascii="Arial" w:hAnsi="Arial"/>
          <w:u w:val="single"/>
          <w:lang w:val="ca-ES"/>
        </w:rPr>
      </w:r>
    </w:p>
    <w:p>
      <w:pPr>
        <w:pStyle w:val="ListParagraph"/>
        <w:numPr>
          <w:ilvl w:val="0"/>
          <w:numId w:val="1"/>
        </w:numPr>
        <w:jc w:val="both"/>
        <w:rPr>
          <w:rFonts w:ascii="Arial" w:hAnsi="Arial" w:cs="Arial"/>
          <w:u w:val="single"/>
          <w:lang w:val="ca-ES"/>
        </w:rPr>
      </w:pPr>
      <w:r>
        <w:rPr>
          <w:rFonts w:cs="Arial" w:ascii="Arial" w:hAnsi="Arial"/>
          <w:lang w:val="ca-ES"/>
        </w:rPr>
        <w:t xml:space="preserve">Amb caràcter general, si l’Ajuntament vol modificar l’ordenança fiscal reguladora d’algun d’aquests dos tributs, és preceptiu l’informe del secretari /ària municipal? </w:t>
      </w:r>
      <w:r>
        <w:rPr>
          <w:rFonts w:cs="Arial" w:ascii="Arial" w:hAnsi="Arial"/>
          <w:u w:val="single"/>
          <w:lang w:val="ca-ES"/>
        </w:rPr>
        <w:t>(2 punts)</w:t>
      </w:r>
    </w:p>
    <w:p>
      <w:pPr>
        <w:pStyle w:val="ListParagraph"/>
        <w:jc w:val="both"/>
        <w:rPr>
          <w:rFonts w:ascii="Arial" w:hAnsi="Arial" w:cs="Arial"/>
          <w:u w:val="single"/>
          <w:lang w:val="ca-ES"/>
        </w:rPr>
      </w:pPr>
      <w:r>
        <w:rPr>
          <w:rFonts w:cs="Arial" w:ascii="Arial" w:hAnsi="Arial"/>
          <w:u w:val="single"/>
          <w:lang w:val="ca-ES"/>
        </w:rPr>
      </w:r>
    </w:p>
    <w:p>
      <w:pPr>
        <w:pStyle w:val="ListParagraph"/>
        <w:jc w:val="both"/>
        <w:rPr>
          <w:rFonts w:ascii="Arial" w:hAnsi="Arial" w:cs="Arial"/>
          <w:i/>
          <w:i/>
          <w:color w:val="FF0000"/>
          <w:lang w:val="ca-ES"/>
        </w:rPr>
      </w:pPr>
      <w:r>
        <w:rPr>
          <w:rFonts w:cs="Arial" w:ascii="Arial" w:hAnsi="Arial"/>
          <w:i/>
          <w:color w:val="FF0000"/>
          <w:lang w:val="ca-ES"/>
        </w:rPr>
        <w:t>El secretari municipal té, entre les seves funcions reservades, la d’informar prèviament l’aprovació de les ordenances, incloses les fiscals (art.3 c RD 128/2018).</w:t>
      </w:r>
    </w:p>
    <w:p>
      <w:pPr>
        <w:pStyle w:val="ListParagraph"/>
        <w:jc w:val="both"/>
        <w:rPr>
          <w:rFonts w:ascii="Arial" w:hAnsi="Arial" w:cs="Arial"/>
          <w:u w:val="single"/>
          <w:lang w:val="ca-ES"/>
        </w:rPr>
      </w:pPr>
      <w:r>
        <w:rPr>
          <w:rFonts w:cs="Arial" w:ascii="Arial" w:hAnsi="Arial"/>
          <w:u w:val="single"/>
          <w:lang w:val="ca-ES"/>
        </w:rPr>
      </w:r>
    </w:p>
    <w:p>
      <w:pPr>
        <w:pStyle w:val="ListParagraph"/>
        <w:spacing w:before="0" w:after="160"/>
        <w:contextualSpacing/>
        <w:jc w:val="both"/>
        <w:rPr>
          <w:rFonts w:ascii="Arial" w:hAnsi="Arial" w:cs="Arial"/>
          <w:u w:val="single"/>
          <w:lang w:val="ca-ES"/>
        </w:rPr>
      </w:pPr>
      <w:r>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numFmt w:val="bullet"/>
      <w:lvlText w:val="-"/>
      <w:lvlJc w:val="left"/>
      <w:pPr>
        <w:tabs>
          <w:tab w:val="num" w:pos="0"/>
        </w:tabs>
        <w:ind w:left="1080" w:hanging="360"/>
      </w:pPr>
      <w:rPr>
        <w:rFonts w:ascii="Arial" w:hAnsi="Arial" w:cs="Arial" w:hint="default"/>
        <w:rFonts w:eastAsiaTheme="minorHAnsi"/>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ListParagraph">
    <w:name w:val="List Paragraph"/>
    <w:basedOn w:val="Normal"/>
    <w:uiPriority w:val="34"/>
    <w:qFormat/>
    <w:rsid w:val="00b94556"/>
    <w:pPr>
      <w:spacing w:before="0" w:after="16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ac2758"/>
    <w:pPr>
      <w:spacing w:after="0" w:line="240" w:lineRule="auto"/>
    </w:pPr>
    <w:rPr>
      <w:lang w:val="ca-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LibreOffice/7.2.7.2$Windows_X86_64 LibreOffice_project/8d71d29d553c0f7dcbfa38fbfda25ee34cce99a2</Application>
  <AppVersion>15.0000</AppVersion>
  <Pages>2</Pages>
  <Words>779</Words>
  <Characters>4013</Characters>
  <CharactersWithSpaces>4750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2026-05-15T12:24:00Z</dcterms:created>
  <dc:creator>Lluis Viñas Peitabi</dc:creator>
  <dc:description/>
  <dc:language>ca-ES</dc:language>
  <cp:lastModifiedBy/>
  <dcterms:modified xsi:type="dcterms:W3CDTF">2026-05-18T08:39:34Z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