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A" w:rsidRPr="009B57DA" w:rsidRDefault="00AF7157" w:rsidP="00CF20DD">
      <w:pPr>
        <w:pStyle w:val="Ttulo1"/>
        <w:numPr>
          <w:ilvl w:val="0"/>
          <w:numId w:val="4"/>
        </w:numPr>
        <w:ind w:right="56"/>
        <w:jc w:val="both"/>
        <w:rPr>
          <w:b w:val="0"/>
          <w:sz w:val="20"/>
        </w:rPr>
      </w:pPr>
      <w:r>
        <w:rPr>
          <w:b w:val="0"/>
          <w:sz w:val="20"/>
        </w:rPr>
        <w:t>2017/809 Aprovar la relació de despeses del 25 al 29 de setembre</w:t>
      </w:r>
    </w:p>
    <w:p w:rsidR="009B57DA" w:rsidRDefault="007F49A5" w:rsidP="00333BBE">
      <w:pPr>
        <w:pStyle w:val="Ttulo1"/>
        <w:ind w:left="0" w:right="56" w:firstLine="0"/>
        <w:jc w:val="both"/>
        <w:rPr>
          <w:sz w:val="20"/>
        </w:rPr>
      </w:pPr>
    </w:p>
    <w:p w:rsidR="004B2907" w:rsidRPr="008C7ADE" w:rsidRDefault="00AF7157" w:rsidP="00333BBE">
      <w:pPr>
        <w:pStyle w:val="Ttulo1"/>
        <w:ind w:left="0" w:right="56" w:firstLine="0"/>
        <w:jc w:val="both"/>
        <w:rPr>
          <w:sz w:val="20"/>
        </w:rPr>
      </w:pPr>
      <w:r>
        <w:rPr>
          <w:sz w:val="20"/>
        </w:rPr>
        <w:t>I</w:t>
      </w:r>
      <w:r w:rsidRPr="008C7ADE">
        <w:rPr>
          <w:sz w:val="20"/>
        </w:rPr>
        <w:t>dentificació de l’expedient</w:t>
      </w:r>
    </w:p>
    <w:p w:rsidR="004B2907" w:rsidRPr="008C7ADE" w:rsidRDefault="007F49A5" w:rsidP="00333BBE">
      <w:pPr>
        <w:tabs>
          <w:tab w:val="left" w:pos="284"/>
        </w:tabs>
        <w:ind w:right="56"/>
      </w:pPr>
    </w:p>
    <w:p w:rsidR="00713F51" w:rsidRDefault="00AF7157" w:rsidP="00333BBE">
      <w:pPr>
        <w:tabs>
          <w:tab w:val="left" w:pos="284"/>
        </w:tabs>
        <w:ind w:right="56"/>
      </w:pPr>
      <w:r w:rsidRPr="008C7ADE">
        <w:t xml:space="preserve">Expedient </w:t>
      </w:r>
      <w:r>
        <w:t xml:space="preserve">2017/1010 </w:t>
      </w:r>
      <w:r w:rsidRPr="008C7ADE">
        <w:t xml:space="preserve">relatiu </w:t>
      </w:r>
      <w:r>
        <w:t>a l’aprovació de la relació de despeses del 25 al 29 de setembre.</w:t>
      </w:r>
    </w:p>
    <w:p w:rsidR="004B2907" w:rsidRPr="008C7ADE" w:rsidRDefault="00AF7157" w:rsidP="00333BBE">
      <w:pPr>
        <w:tabs>
          <w:tab w:val="left" w:pos="284"/>
        </w:tabs>
        <w:ind w:right="56"/>
      </w:pPr>
      <w:r w:rsidRPr="008C7ADE">
        <w:t xml:space="preserve"> </w:t>
      </w:r>
    </w:p>
    <w:p w:rsidR="00AF7157" w:rsidRDefault="00AF7157" w:rsidP="00AF7157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/>
          <w:bCs/>
          <w:kern w:val="0"/>
          <w:szCs w:val="20"/>
          <w:lang w:eastAsia="es-ES"/>
        </w:rPr>
      </w:pPr>
      <w:bookmarkStart w:id="0" w:name="BLO__BDT"/>
      <w:r w:rsidRPr="007B7E16">
        <w:rPr>
          <w:rFonts w:eastAsia="Times New Roman"/>
          <w:b/>
          <w:bCs/>
          <w:kern w:val="0"/>
          <w:szCs w:val="20"/>
          <w:lang w:eastAsia="es-ES"/>
        </w:rPr>
        <w:t>Fets</w:t>
      </w:r>
    </w:p>
    <w:p w:rsidR="00AF7157" w:rsidRDefault="00AF7157" w:rsidP="00AF7157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/>
          <w:bCs/>
          <w:kern w:val="0"/>
          <w:szCs w:val="20"/>
          <w:lang w:eastAsia="es-ES"/>
        </w:rPr>
      </w:pPr>
    </w:p>
    <w:p w:rsidR="00AF7157" w:rsidRPr="007B7E16" w:rsidRDefault="00AF7157" w:rsidP="00AF7157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 w:rsidRPr="007B7E16">
        <w:rPr>
          <w:rFonts w:eastAsia="Times New Roman"/>
          <w:bCs/>
          <w:kern w:val="0"/>
          <w:szCs w:val="20"/>
          <w:lang w:eastAsia="es-ES"/>
        </w:rPr>
        <w:t>1. S’ha confeccionat relació de despeses per autoritzar, disposar, reconèixer l’obligació i ordenar el pagament per import total de</w:t>
      </w:r>
      <w:r w:rsidRPr="00C31CEC">
        <w:rPr>
          <w:rFonts w:ascii="Calibri" w:hAnsi="Calibri"/>
          <w:color w:val="000000"/>
          <w:sz w:val="22"/>
          <w:szCs w:val="22"/>
        </w:rPr>
        <w:t xml:space="preserve"> </w:t>
      </w:r>
      <w:r w:rsidR="007F49A5">
        <w:rPr>
          <w:rFonts w:ascii="Calibri" w:hAnsi="Calibri"/>
          <w:color w:val="000000"/>
          <w:sz w:val="22"/>
          <w:szCs w:val="22"/>
        </w:rPr>
        <w:t xml:space="preserve">146.373,96 </w:t>
      </w:r>
      <w:r w:rsidRPr="007B7E16">
        <w:rPr>
          <w:rFonts w:eastAsia="Times New Roman"/>
          <w:bCs/>
          <w:kern w:val="0"/>
          <w:szCs w:val="20"/>
          <w:lang w:eastAsia="es-ES"/>
        </w:rPr>
        <w:t>euros</w:t>
      </w:r>
    </w:p>
    <w:p w:rsidR="00AF7157" w:rsidRPr="007B7E16" w:rsidRDefault="00AF7157" w:rsidP="00AF7157">
      <w:pPr>
        <w:ind w:left="-709" w:right="-794"/>
        <w:rPr>
          <w:lang w:eastAsia="es-ES"/>
        </w:rPr>
      </w:pPr>
    </w:p>
    <w:p w:rsidR="00AF7157" w:rsidRPr="007B7E16" w:rsidRDefault="00AF7157" w:rsidP="00AF7157">
      <w:pPr>
        <w:ind w:left="-709" w:right="-794"/>
        <w:rPr>
          <w:lang w:eastAsia="es-ES"/>
        </w:rPr>
      </w:pPr>
      <w:r w:rsidRPr="007B7E16">
        <w:rPr>
          <w:lang w:eastAsia="es-ES"/>
        </w:rPr>
        <w:t>2.</w:t>
      </w:r>
      <w:r w:rsidRPr="007B7E16">
        <w:rPr>
          <w:b/>
        </w:rPr>
        <w:t xml:space="preserve"> </w:t>
      </w:r>
      <w:r w:rsidRPr="007B7E16"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AF7157" w:rsidRPr="007B7E16" w:rsidRDefault="00AF7157" w:rsidP="00AF7157">
      <w:pPr>
        <w:tabs>
          <w:tab w:val="left" w:pos="284"/>
        </w:tabs>
        <w:ind w:left="-709" w:right="-794"/>
      </w:pPr>
    </w:p>
    <w:p w:rsidR="00AF7157" w:rsidRPr="007B7E16" w:rsidRDefault="00AF7157" w:rsidP="00AF7157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2"/>
        <w:rPr>
          <w:rFonts w:eastAsia="Times New Roman"/>
          <w:b/>
          <w:bCs/>
          <w:kern w:val="0"/>
          <w:szCs w:val="20"/>
          <w:lang w:eastAsia="es-ES"/>
        </w:rPr>
      </w:pPr>
      <w:r w:rsidRPr="007B7E16">
        <w:rPr>
          <w:rFonts w:eastAsia="Times New Roman"/>
          <w:b/>
          <w:bCs/>
          <w:kern w:val="0"/>
          <w:szCs w:val="20"/>
          <w:lang w:eastAsia="es-ES"/>
        </w:rPr>
        <w:t xml:space="preserve">Resolució </w:t>
      </w:r>
    </w:p>
    <w:p w:rsidR="00AF7157" w:rsidRPr="007B7E16" w:rsidRDefault="00AF7157" w:rsidP="00AF7157">
      <w:pPr>
        <w:tabs>
          <w:tab w:val="left" w:pos="284"/>
        </w:tabs>
        <w:ind w:left="-709" w:right="-794"/>
      </w:pPr>
    </w:p>
    <w:p w:rsidR="00AF7157" w:rsidRPr="007B7E16" w:rsidRDefault="00AF7157" w:rsidP="00AF7157">
      <w:pPr>
        <w:tabs>
          <w:tab w:val="left" w:pos="284"/>
        </w:tabs>
        <w:ind w:left="-709" w:right="-794"/>
      </w:pPr>
      <w:r w:rsidRPr="007B7E16"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AF7157" w:rsidRPr="007B7E16" w:rsidRDefault="00AF7157" w:rsidP="00AF7157">
      <w:pPr>
        <w:tabs>
          <w:tab w:val="left" w:pos="284"/>
        </w:tabs>
        <w:ind w:left="-709" w:right="-794"/>
      </w:pPr>
    </w:p>
    <w:p w:rsidR="00AF7157" w:rsidRDefault="00AF7157" w:rsidP="00AF7157">
      <w:pPr>
        <w:tabs>
          <w:tab w:val="left" w:pos="284"/>
        </w:tabs>
        <w:ind w:left="-709" w:right="-794"/>
      </w:pPr>
      <w:r w:rsidRPr="007B7E16">
        <w:t>Per tant, resolc:</w:t>
      </w:r>
    </w:p>
    <w:p w:rsidR="00AF7157" w:rsidRDefault="00AF7157" w:rsidP="00AF7157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que </w:t>
      </w:r>
      <w:r w:rsidRPr="007B7E16">
        <w:t>han seguit el procediment del circuit de la despesa establert</w:t>
      </w:r>
      <w:r>
        <w:t>.</w:t>
      </w:r>
    </w:p>
    <w:p w:rsidR="007F49A5" w:rsidRDefault="007F49A5" w:rsidP="007F49A5">
      <w:pPr>
        <w:pStyle w:val="Prrafodelista"/>
        <w:tabs>
          <w:tab w:val="left" w:pos="-709"/>
        </w:tabs>
        <w:ind w:left="-709" w:right="56"/>
      </w:pPr>
    </w:p>
    <w:tbl>
      <w:tblPr>
        <w:tblW w:w="5810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2660"/>
        <w:gridCol w:w="1751"/>
        <w:gridCol w:w="495"/>
        <w:gridCol w:w="665"/>
        <w:gridCol w:w="1053"/>
        <w:gridCol w:w="736"/>
        <w:gridCol w:w="280"/>
        <w:gridCol w:w="828"/>
        <w:gridCol w:w="851"/>
      </w:tblGrid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Núm. Entrada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Cognoms</w:t>
            </w:r>
            <w:proofErr w:type="spellEnd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nom</w:t>
            </w:r>
            <w:proofErr w:type="spellEnd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 o raó social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Núm. doc.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Any</w:t>
            </w:r>
            <w:proofErr w:type="spellEnd"/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Org</w:t>
            </w:r>
            <w:proofErr w:type="spellEnd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Prog</w:t>
            </w:r>
            <w:proofErr w:type="spellEnd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Econ.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Imports</w:t>
            </w:r>
            <w:proofErr w:type="spellEnd"/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Data registre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Text </w:t>
            </w: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explicatiu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Data doc.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RC,A,D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Euros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Projecte</w:t>
            </w:r>
            <w:proofErr w:type="spellEnd"/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337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RC:22017003039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1.100,00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F/2017/2677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B64145550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KLOUSNER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162-A/17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Monitors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tallers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337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RC:22017002947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2.997,50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F/2017/2678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B64145550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KLOUSNER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161-A/17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proofErr w:type="gram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klousner-Monitors</w:t>
            </w:r>
            <w:proofErr w:type="spellEnd"/>
            <w:proofErr w:type="gram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taller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d'andromines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338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RC:22017003716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396,00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F/2017/2701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B59608083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FERISBUS, S.L.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Cabrera-Cardona-Cabrera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RC:22017003855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239,10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F/2017/2703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44176170R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VENTURA PARRA OLGA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91508/1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Sopar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Itaca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Endossatari</w:t>
            </w:r>
            <w:proofErr w:type="spellEnd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: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CARLES SALTO JOAN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338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RC:22017003838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275,30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F/2017/2704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44176170R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VENTURA PARRA OLGA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91498/1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sopar cobla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festa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major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Endossatari</w:t>
            </w:r>
            <w:proofErr w:type="spellEnd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: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CARLES SALTO JOAN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RC:22017003778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154,37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F/2017/2694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B61515474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USIS GUIRAO,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F17 0514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Bota CRISPI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337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RC:22017003837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211,87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F/2017/2421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A62518121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TOI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TOI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SANITARIOS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 17008386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11/08/2017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WC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Platja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RC:22017003840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1.117,14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F/2017/2719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A97152094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FULTON SERVICIOS INTEGRALES, S.A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 172425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PRESTACIÓ 2: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preventiu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normatiu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conductiu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.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Periode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facturació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: Des de 01/11/2016 al 30/11/2016 ( PRESTACI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D:220170000740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1.117,14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F/2017/2720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A97152094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FULTON SERVICIOS INTEGRALES, S.A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 172424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PRESTACIÓ 2: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preventiu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normatiu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conductiu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.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Periode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facturació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: Des de 01/10/2016 al 31/10/2016 ( PRESTACI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D:220170000740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1.117,14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F/2017/2721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A97152094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FULTON SERVICIOS INTEGRALES, S.A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 172423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PRESTACIÓ 2: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preventiu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normatiu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conductiu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. 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Periode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facturació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: Des de 01/08/2016 al 31/08/2016 ( PRESTAC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D:220170000740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1.117,14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F/2017/2722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A97152094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FULTON SERVICIOS INTEGRALES, S.A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 172426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PRESTACIÓ 2: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preventiu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normatiu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conductiu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.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Periode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facturació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: Des de 01/12/2016 al 31/12/2016 ( PRESTACI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22604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RC:22017003658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1.815,00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F/2017/2774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J64956667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CASTELLO JOAN ABOGADOS PENALISTAS S.C.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1370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Estudi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Transcendencia penal regidora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29,92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F/2017/2716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A82018474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TELEFONICA DE ESPAÑA, S.A.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TA5LN0100670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Periodo regular de cuotas (01 Sep. a 30 Sep. 17)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29,80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A82018474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TELEFONICA DE ESPAÑA, S.A.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TA5LN0097270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Periodo regular de cuotas (01 Sep. a 30 Sep. 17)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D:220170001964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90,00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F/2017/2772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34733666D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VEGA BATISTE XAVIER MANUEL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184/2017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Catering 19/09/2017 9pax.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240,00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F/2017/2770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38835111W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TORRES FIGUEROA, JAVIER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29/2017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Hores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classe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cursets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d'informàtica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Casal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d'Avis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juliol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433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RC:22017003064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16,68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F/2017/2784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G60228202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ROIG ROCA GERMANS, S.C.P.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17/18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Aigua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Promocio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econòmica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RC:22017003750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169,40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F/2017/2779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77288414L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RODON ROURA SALVI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1453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Buidar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sorrals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RC:22017003749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211,75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F/2017/2782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77288414L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RODON ROURA SALVI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1452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Buidar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la llera del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torrent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Molí i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netejar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D:220170000779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7.988,84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F/2017/2819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G58376872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CEO DEL MARESME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2173774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Mant.zona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ajardinada Cabrera de Mar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1621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369,67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F/2017/2818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P5812001E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CONSORCI TRACTAMENT DE RESIDUS SOLIDS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518/17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Certificació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vidre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agost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1621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8.551,98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P5812001E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CONSORCI TRACTAMENT DE RESIDUS SOLIDS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512/17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Certificació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valorització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brossa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agost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amb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abonament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vidre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1621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180,34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F/2017/2816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P5812001E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CONSORCI TRACTAMENT DE RESIDUS SOLIDS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520/17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Certificació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envasos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agost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21020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AD:220170011552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4.956,16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F/2017/2776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B64247554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ABAC CONSERVACIO-RESTAURACIO SL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13/17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Obres de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conservació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restauració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d'un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mur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romà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Clos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arqueològic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Ca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l'Arnau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22101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75,78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F/2017/2768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A08007270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AIGÜES DE MATARÓ, S.A.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servei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F/2017/2829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B61473120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MANANTIAL DE SALUD, S.A.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17051662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lloguer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211,75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F/2017/2830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38453585T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EVA LOPEZ RUBIO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17/0029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Classes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ioga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 la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cadira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D:220170001964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50,00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F/2017/2831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34733666D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VEGA BATISTE XAVIER MANUEL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185/2017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Catering 22/09/2017 5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pax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3321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RC:22017002959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64,20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F/2017/2832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B65271744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IGNASI PASTISSER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COMPROVANT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Ignasi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pastisser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-pica pica per la biblioteca.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A:220170000002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1.601,30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F/2017/2825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G60729084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ASSISTÈNCIA I GESTIÓ INTEGRAL FUNDACIÓ PRIVADA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A/3758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Servei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d'acolliment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d'Urgència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Especialitzat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Exp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. 15/PUR 2017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Usuària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C.S.A.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22706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AD:220170005619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3.504,55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F/2017/2824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46305147Y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GASPAR ALBA JOSEP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17017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Honoraris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3321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RC:22017003666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206,64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F/2017/2771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B61286829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LLIBRERIA EL TRAMVIA DE MATARO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213/1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Llibres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biblioteca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326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720,00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F/2017/2769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X6917151Q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SOTO SALCIDO ROXANA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091/2017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Classes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d'anglès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326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240,00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F/2017/2767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38835111W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TORRES FIGUEROA, JAVIER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32/2017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Curset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d'Estiu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"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Introducció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al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Muntatge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Vídeo".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326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360,00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F/2017/2766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38835111W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TORRES FIGUEROA, JAVIER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31/2017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Curset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d'Estiu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per a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adults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"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Iniciació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l'Android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".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RC:22017003788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1.240,80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F/2017/2833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B60950748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SERVEI DE NETEJA PERE I ANGEL,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17 652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Pas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platja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22104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RC:22017002026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2.911,36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F/2017/2839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B97611164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INSIGNA UNIFORMES,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FIA172325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Pantaló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d'estiu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203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RC:22017002531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245,80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F/2017/2838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A39000013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BANCO SANTANDER CENTRAL HISPANO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 3321114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LLoguer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22706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RC:22017003789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2.314,74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F/2017/2864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A50878842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ESPUBLICO SERVICIOS PARA LA ADMINISTRACION SA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7740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Subscripcció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models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plantilles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RC:22017003846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919,60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F/2017/2821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38863637P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MADUEÑO BAENA PEDRO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Retirada de les restes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vegetals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D:220170000781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1.055,12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F/2017/2820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38863637P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MADUEÑO BAENA PEDRO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Factura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corresponent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al mes de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Agost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3321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RC:22017003711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59,99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F/2017/2781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47809778T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DAVID COROMINAS SERRAT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P1700000048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Material biblioteca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3321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RC:22017003755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33,38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F/2017/2773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B63596100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OFFICE MATARO,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706341/B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Material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divers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biblioteca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RC:22017003850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200,20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F/2017/2783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38777951C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FONTSECA JOAQUIM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Portar i retirar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generadors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la riera.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Platja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i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castell de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Burriac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.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337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RC:22017003038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71,39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F/2017/2775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77288391L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PUJOL BUSQUETS ENRIC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Fustes taller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creart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338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RC:22017003845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104,87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F/2017/2545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B65258188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GERMANS HOMS LLOGUER DE MAQUINARIA 1852,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1732471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Valla de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carrers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178,50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F/2017/2866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H59714410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COMUNITAT DE PROPIETARIS C/SANT JOAN, 2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6889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Comunitat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propietaris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c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sant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joan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338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RC:22017003819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33,40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F/2017/2867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B63596100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OFFICE MATARO, S.L.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706367/B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Caixa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remolcs</w:t>
            </w:r>
            <w:proofErr w:type="spellEnd"/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1.348,16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F/2017/2837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A97152094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FULTON SERVICIOS INTEGRALES, S.A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 171432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PRESTACIÓ 1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Gestió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energética del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subministrament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tèrmic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pavelló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. Control i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gestió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correcte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funcionament</w:t>
            </w:r>
            <w:proofErr w:type="spellEnd"/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 ( PRES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1720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63313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D:220170011267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27.793,70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F/2017/2718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A28745495</w:t>
            </w:r>
          </w:p>
        </w:tc>
        <w:tc>
          <w:tcPr>
            <w:tcW w:w="895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ELIAS JADRAQUE, S.A.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217 198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2017 / 2 / SOSTE / 4 / 4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19/09/2017</w:t>
            </w:r>
          </w:p>
        </w:tc>
        <w:tc>
          <w:tcPr>
            <w:tcW w:w="136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SUMINISTRO MAQUINA BIOTRITURADORA DE RESTOS VEGETALES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7F49A5" w:rsidRPr="007F49A5" w:rsidTr="007F49A5">
        <w:trPr>
          <w:trHeight w:val="255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360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89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proofErr w:type="gramStart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Totals</w:t>
            </w:r>
            <w:proofErr w:type="spellEnd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 .</w:t>
            </w:r>
            <w:proofErr w:type="gramEnd"/>
            <w:r w:rsidRPr="007F49A5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 . . . . . . .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7F49A5" w:rsidRPr="007F49A5" w:rsidRDefault="007F49A5" w:rsidP="007F49A5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7F49A5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80.037,47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:rsidR="007F49A5" w:rsidRPr="007F49A5" w:rsidRDefault="007F49A5" w:rsidP="007F49A5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7F49A5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</w:tbl>
    <w:p w:rsidR="00713F51" w:rsidRDefault="007F49A5" w:rsidP="00333BBE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del conveni de col·laboració entre l’Ajuntament de Cabrera de Mar i l’Ajuntament de Premià de Mar per la col·laboració en matèria de suport tècnic per import de 12.000 euros que </w:t>
      </w:r>
      <w:r w:rsidRPr="007B7E16">
        <w:t>han seguit el procediment del circuit de la despesa establert</w:t>
      </w:r>
      <w:r>
        <w:t>.</w:t>
      </w:r>
    </w:p>
    <w:p w:rsidR="00AF7157" w:rsidRDefault="00AF7157" w:rsidP="00AF7157">
      <w:pPr>
        <w:pStyle w:val="Prrafodelista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de la meitat de la matrícula del segon grau de criminologia del Sr. Joel Garcia Perelló per import de 395.37 euros que </w:t>
      </w:r>
      <w:r w:rsidRPr="007B7E16">
        <w:t>han seguit el procediment del circuit de la despesa establert</w:t>
      </w:r>
      <w:r>
        <w:t>.</w:t>
      </w:r>
    </w:p>
    <w:p w:rsidR="00AF7157" w:rsidRDefault="00AF7157" w:rsidP="00AF7157">
      <w:pPr>
        <w:pStyle w:val="Prrafodelista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de la subvenció 2017 (part proporcional de l’antic conveni i el 2n trimestre del nou conveni)  a l’Associació Escola de Música de Cabrera de Mar per import de 9.000 euros que </w:t>
      </w:r>
      <w:r w:rsidRPr="007B7E16">
        <w:t>han seguit el procediment del circuit de la despesa establert</w:t>
      </w:r>
      <w:r>
        <w:t>.</w:t>
      </w:r>
    </w:p>
    <w:p w:rsidR="00AF7157" w:rsidRDefault="00AF7157" w:rsidP="00AF7157">
      <w:pPr>
        <w:pStyle w:val="Prrafodelista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del retorn de la fiança dipositada pel concepte de gestió de residus per import de 150 euros a càrrec de Comunitat de propietaris “Els Rials” que </w:t>
      </w:r>
      <w:r w:rsidRPr="007B7E16">
        <w:t>han seguit el procediment del circuit de la despesa establert</w:t>
      </w:r>
      <w:r>
        <w:t>.</w:t>
      </w:r>
    </w:p>
    <w:p w:rsidR="00AF7157" w:rsidRDefault="00AF7157" w:rsidP="00AF7157">
      <w:pPr>
        <w:tabs>
          <w:tab w:val="left" w:pos="-709"/>
        </w:tabs>
        <w:ind w:right="56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del retorn de la fiança dipositada pel concepte de gestió de residus per import de 150 euros a càrrec de Comunitat de propietaris que </w:t>
      </w:r>
      <w:r w:rsidRPr="007B7E16">
        <w:t>han seguit el procediment del circuit de la despesa establert</w:t>
      </w:r>
      <w:r>
        <w:t>.</w:t>
      </w:r>
    </w:p>
    <w:p w:rsidR="00AF7157" w:rsidRDefault="00AF7157" w:rsidP="00AF7157">
      <w:pPr>
        <w:tabs>
          <w:tab w:val="left" w:pos="-709"/>
        </w:tabs>
        <w:ind w:right="56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del retorn de la fiança dipositada pel concepte de gestió de residus per import de 150 euros a càrrec del </w:t>
      </w:r>
      <w:proofErr w:type="spellStart"/>
      <w:r>
        <w:t>sr</w:t>
      </w:r>
      <w:proofErr w:type="spellEnd"/>
      <w:r>
        <w:t xml:space="preserve"> Pere Ubach </w:t>
      </w:r>
      <w:proofErr w:type="spellStart"/>
      <w:r>
        <w:t>Monteagudo</w:t>
      </w:r>
      <w:proofErr w:type="spellEnd"/>
      <w:r>
        <w:t xml:space="preserve"> que </w:t>
      </w:r>
      <w:r w:rsidRPr="007B7E16">
        <w:t>han seguit el procediment del circuit de la despesa establert</w:t>
      </w:r>
    </w:p>
    <w:p w:rsidR="00AF7157" w:rsidRDefault="00AF7157" w:rsidP="00AF7157">
      <w:pPr>
        <w:pStyle w:val="Prrafodelista"/>
        <w:tabs>
          <w:tab w:val="left" w:pos="-709"/>
        </w:tabs>
        <w:ind w:left="-709" w:right="56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de l’ ajut social a la </w:t>
      </w:r>
      <w:proofErr w:type="spellStart"/>
      <w:r>
        <w:t>sra.</w:t>
      </w:r>
      <w:proofErr w:type="spellEnd"/>
      <w:r>
        <w:t xml:space="preserve"> </w:t>
      </w:r>
      <w:proofErr w:type="spellStart"/>
      <w:r>
        <w:t>Gregoria</w:t>
      </w:r>
      <w:proofErr w:type="spellEnd"/>
      <w:r>
        <w:t xml:space="preserve"> </w:t>
      </w:r>
      <w:proofErr w:type="spellStart"/>
      <w:r>
        <w:t>Múñoz</w:t>
      </w:r>
      <w:proofErr w:type="spellEnd"/>
      <w:r>
        <w:t xml:space="preserve"> per import de 90 euros que </w:t>
      </w:r>
      <w:r w:rsidRPr="007B7E16">
        <w:t>han seguit el procediment del circuit de la despesa establert</w:t>
      </w:r>
      <w:r>
        <w:t>.</w:t>
      </w:r>
    </w:p>
    <w:p w:rsidR="00AF7157" w:rsidRDefault="00AF7157" w:rsidP="00AF7157">
      <w:pPr>
        <w:pStyle w:val="Prrafodelista"/>
        <w:tabs>
          <w:tab w:val="left" w:pos="-709"/>
        </w:tabs>
        <w:ind w:left="-709" w:right="56"/>
      </w:pPr>
    </w:p>
    <w:p w:rsidR="00AF7157" w:rsidRDefault="00AF7157" w:rsidP="00AF7157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del conveni a SERVEIS EDUCATIUS CAVALL DE CARTRÓ, SL per import de 44.401,12 euros que </w:t>
      </w:r>
      <w:r w:rsidRPr="007B7E16">
        <w:t>han seguit el procediment del circuit de la despesa establert</w:t>
      </w:r>
      <w:r>
        <w:t>.</w:t>
      </w:r>
    </w:p>
    <w:p w:rsidR="00AF7157" w:rsidRDefault="00AF7157" w:rsidP="00333BBE">
      <w:pPr>
        <w:tabs>
          <w:tab w:val="left" w:pos="284"/>
        </w:tabs>
        <w:ind w:right="56"/>
      </w:pPr>
    </w:p>
    <w:bookmarkEnd w:id="0"/>
    <w:p w:rsidR="004B2907" w:rsidRPr="008C7ADE" w:rsidRDefault="00AF7157" w:rsidP="00333BBE">
      <w:pPr>
        <w:tabs>
          <w:tab w:val="left" w:pos="284"/>
        </w:tabs>
        <w:ind w:right="56"/>
      </w:pPr>
      <w:r w:rsidRPr="008C7ADE">
        <w:t xml:space="preserve">Cabrera de Mar, </w:t>
      </w:r>
      <w:r>
        <w:t>29 de setembre de 2017</w:t>
      </w:r>
    </w:p>
    <w:p w:rsidR="004B2907" w:rsidRDefault="007F49A5" w:rsidP="00333BBE">
      <w:pPr>
        <w:tabs>
          <w:tab w:val="left" w:pos="284"/>
        </w:tabs>
        <w:ind w:right="56"/>
        <w:rPr>
          <w:lang w:val="es-ES"/>
        </w:rPr>
      </w:pPr>
    </w:p>
    <w:p w:rsidR="004B2907" w:rsidRDefault="00AF7157" w:rsidP="00333BBE">
      <w:pPr>
        <w:tabs>
          <w:tab w:val="left" w:pos="284"/>
          <w:tab w:val="left" w:pos="5670"/>
        </w:tabs>
        <w:ind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4B2907" w:rsidRDefault="007F49A5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7F49A5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3E28C1" w:rsidRDefault="007F49A5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5A5505" w:rsidRDefault="00AF7157" w:rsidP="00333BBE">
      <w:pPr>
        <w:tabs>
          <w:tab w:val="left" w:pos="284"/>
          <w:tab w:val="left" w:pos="5670"/>
        </w:tabs>
        <w:ind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>Albert Mustarós Gel</w:t>
      </w:r>
      <w:r w:rsidRPr="008C7ADE">
        <w:t xml:space="preserve"> </w:t>
      </w:r>
    </w:p>
    <w:p w:rsidR="00726FC7" w:rsidRDefault="007F49A5" w:rsidP="00333BBE">
      <w:bookmarkStart w:id="1" w:name="_GoBack"/>
      <w:bookmarkEnd w:id="1"/>
    </w:p>
    <w:sectPr w:rsidR="00726FC7" w:rsidSect="00AF7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814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2D" w:rsidRDefault="00AF7157">
      <w:r>
        <w:separator/>
      </w:r>
    </w:p>
  </w:endnote>
  <w:endnote w:type="continuationSeparator" w:id="0">
    <w:p w:rsidR="0011032D" w:rsidRDefault="00AF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7F49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7F49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7F49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2D" w:rsidRDefault="00AF7157">
      <w:r>
        <w:separator/>
      </w:r>
    </w:p>
  </w:footnote>
  <w:footnote w:type="continuationSeparator" w:id="0">
    <w:p w:rsidR="0011032D" w:rsidRDefault="00AF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7F49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70" w:rsidRDefault="00AF7157" w:rsidP="00082470">
    <w:pPr>
      <w:pStyle w:val="estiloficial"/>
      <w:ind w:left="5812"/>
    </w:pPr>
    <w:r>
      <w:t xml:space="preserve"> </w:t>
    </w:r>
  </w:p>
  <w:p w:rsidR="00082470" w:rsidRDefault="007F49A5" w:rsidP="00082470">
    <w:pPr>
      <w:pStyle w:val="estiloficial"/>
      <w:ind w:left="5812"/>
    </w:pPr>
  </w:p>
  <w:p w:rsidR="00082470" w:rsidRDefault="00AF7157" w:rsidP="00713F51">
    <w:pPr>
      <w:pStyle w:val="estiloficial"/>
      <w:ind w:left="4820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126FA6FA" wp14:editId="60657D2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502ECE" w:rsidRDefault="00AF7157" w:rsidP="00713F51">
    <w:pPr>
      <w:pStyle w:val="estiloficial"/>
      <w:ind w:left="4820"/>
    </w:pPr>
    <w:r>
      <w:t>Referència: MMD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7F49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6A5EF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CB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24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4A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A2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A08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07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7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2C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51388"/>
    <w:multiLevelType w:val="hybridMultilevel"/>
    <w:tmpl w:val="7A30F5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E364A"/>
    <w:multiLevelType w:val="hybridMultilevel"/>
    <w:tmpl w:val="5BF42D4C"/>
    <w:lvl w:ilvl="0" w:tplc="B18E17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9101A40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8886021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846EB6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2EB8D7AE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24579A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27B22DF2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3743630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57F6D74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C8473EE"/>
    <w:multiLevelType w:val="hybridMultilevel"/>
    <w:tmpl w:val="E31AFF4C"/>
    <w:lvl w:ilvl="0" w:tplc="F28230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3D344E1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244D38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ED2B2E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5D2F58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8E838F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010DF0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C4E9A4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4ECC6D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C0E7B66"/>
    <w:multiLevelType w:val="hybridMultilevel"/>
    <w:tmpl w:val="4DE4B680"/>
    <w:lvl w:ilvl="0" w:tplc="8B084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B422D1C" w:tentative="1">
      <w:start w:val="1"/>
      <w:numFmt w:val="lowerLetter"/>
      <w:lvlText w:val="%2."/>
      <w:lvlJc w:val="left"/>
      <w:pPr>
        <w:ind w:left="1222" w:hanging="360"/>
      </w:pPr>
    </w:lvl>
    <w:lvl w:ilvl="2" w:tplc="CF1011D0" w:tentative="1">
      <w:start w:val="1"/>
      <w:numFmt w:val="lowerRoman"/>
      <w:lvlText w:val="%3."/>
      <w:lvlJc w:val="right"/>
      <w:pPr>
        <w:ind w:left="1942" w:hanging="180"/>
      </w:pPr>
    </w:lvl>
    <w:lvl w:ilvl="3" w:tplc="A0042164" w:tentative="1">
      <w:start w:val="1"/>
      <w:numFmt w:val="decimal"/>
      <w:lvlText w:val="%4."/>
      <w:lvlJc w:val="left"/>
      <w:pPr>
        <w:ind w:left="2662" w:hanging="360"/>
      </w:pPr>
    </w:lvl>
    <w:lvl w:ilvl="4" w:tplc="46EAF530" w:tentative="1">
      <w:start w:val="1"/>
      <w:numFmt w:val="lowerLetter"/>
      <w:lvlText w:val="%5."/>
      <w:lvlJc w:val="left"/>
      <w:pPr>
        <w:ind w:left="3382" w:hanging="360"/>
      </w:pPr>
    </w:lvl>
    <w:lvl w:ilvl="5" w:tplc="F4E0DC08" w:tentative="1">
      <w:start w:val="1"/>
      <w:numFmt w:val="lowerRoman"/>
      <w:lvlText w:val="%6."/>
      <w:lvlJc w:val="right"/>
      <w:pPr>
        <w:ind w:left="4102" w:hanging="180"/>
      </w:pPr>
    </w:lvl>
    <w:lvl w:ilvl="6" w:tplc="DD581910" w:tentative="1">
      <w:start w:val="1"/>
      <w:numFmt w:val="decimal"/>
      <w:lvlText w:val="%7."/>
      <w:lvlJc w:val="left"/>
      <w:pPr>
        <w:ind w:left="4822" w:hanging="360"/>
      </w:pPr>
    </w:lvl>
    <w:lvl w:ilvl="7" w:tplc="E196C8DC" w:tentative="1">
      <w:start w:val="1"/>
      <w:numFmt w:val="lowerLetter"/>
      <w:lvlText w:val="%8."/>
      <w:lvlJc w:val="left"/>
      <w:pPr>
        <w:ind w:left="5542" w:hanging="360"/>
      </w:pPr>
    </w:lvl>
    <w:lvl w:ilvl="8" w:tplc="3E4664E8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57"/>
    <w:rsid w:val="0011032D"/>
    <w:rsid w:val="007F49A5"/>
    <w:rsid w:val="00A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AF715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49A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49A5"/>
    <w:rPr>
      <w:color w:val="800080"/>
      <w:u w:val="single"/>
    </w:rPr>
  </w:style>
  <w:style w:type="paragraph" w:customStyle="1" w:styleId="xl63">
    <w:name w:val="xl63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s-ES" w:eastAsia="es-ES"/>
    </w:rPr>
  </w:style>
  <w:style w:type="paragraph" w:customStyle="1" w:styleId="xl64">
    <w:name w:val="xl64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kern w:val="0"/>
      <w:sz w:val="18"/>
      <w:szCs w:val="18"/>
      <w:lang w:val="es-ES" w:eastAsia="es-ES"/>
    </w:rPr>
  </w:style>
  <w:style w:type="paragraph" w:customStyle="1" w:styleId="xl65">
    <w:name w:val="xl65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kern w:val="0"/>
      <w:sz w:val="16"/>
      <w:szCs w:val="16"/>
      <w:lang w:val="es-ES" w:eastAsia="es-ES"/>
    </w:rPr>
  </w:style>
  <w:style w:type="paragraph" w:customStyle="1" w:styleId="xl66">
    <w:name w:val="xl66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7">
    <w:name w:val="xl67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8">
    <w:name w:val="xl68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9">
    <w:name w:val="xl69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0">
    <w:name w:val="xl70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1">
    <w:name w:val="xl71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2">
    <w:name w:val="xl72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3">
    <w:name w:val="xl73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4">
    <w:name w:val="xl74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s-ES" w:eastAsia="es-ES"/>
    </w:rPr>
  </w:style>
  <w:style w:type="paragraph" w:customStyle="1" w:styleId="xl75">
    <w:name w:val="xl75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76">
    <w:name w:val="xl76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77">
    <w:name w:val="xl77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8">
    <w:name w:val="xl78"/>
    <w:basedOn w:val="Normal"/>
    <w:rsid w:val="007F49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2030</Words>
  <Characters>11166</Characters>
  <Application>Microsoft Office Word</Application>
  <DocSecurity>0</DocSecurity>
  <Lines>93</Lines>
  <Paragraphs>26</Paragraphs>
  <ScaleCrop>false</ScaleCrop>
  <Company/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mmolina</cp:lastModifiedBy>
  <cp:revision>10</cp:revision>
  <cp:lastPrinted>2017-09-29T11:19:00Z</cp:lastPrinted>
  <dcterms:created xsi:type="dcterms:W3CDTF">2015-01-02T08:27:00Z</dcterms:created>
  <dcterms:modified xsi:type="dcterms:W3CDTF">2017-09-29T11:24:00Z</dcterms:modified>
</cp:coreProperties>
</file>