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AE" w:rsidRPr="00E65159" w:rsidRDefault="00335BAE" w:rsidP="00335BAE">
      <w:pPr>
        <w:pStyle w:val="Default"/>
        <w:jc w:val="both"/>
        <w:rPr>
          <w:sz w:val="18"/>
          <w:szCs w:val="18"/>
        </w:rPr>
      </w:pPr>
      <w:r w:rsidRPr="00E65159">
        <w:rPr>
          <w:i/>
          <w:iCs/>
          <w:sz w:val="18"/>
          <w:szCs w:val="18"/>
        </w:rPr>
        <w:t xml:space="preserve">Text Refós 2025 </w:t>
      </w:r>
    </w:p>
    <w:p w:rsidR="00335BAE" w:rsidRPr="00E65159"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ORDENANÇA FISCAL NÚM. 11 </w:t>
      </w:r>
    </w:p>
    <w:p w:rsidR="00335BAE" w:rsidRPr="00E65159"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TAXA PER PRESTACIÓ DE SERVEIS DE CEMENTIRIS </w:t>
      </w:r>
    </w:p>
    <w:p w:rsidR="00335BAE" w:rsidRPr="00E65159"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1r.- Fonament i naturalesa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A l’empara del previst als articles 57 i 20.4.p) del text refós de la Llei reguladora de les Hisendes Locals aprovat pel Reial Decret Legislatiu 2/2004, de 5 de març (TRHL), de conformitat amb el que disposen els articles 15 a 19 d’aquest text legal, aquest Ajuntament estableix la taxa per serveis en cementiris locals que es regirà per aquesta Ordenança fiscal. </w:t>
      </w:r>
    </w:p>
    <w:p w:rsidR="00335BAE" w:rsidRPr="00E65159"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2n.- Fet imposable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Constitueix el fet imposable de la taxa la prestació de serveis públics en el cementiri municipal especificats en les tarifes contingudes a l’article 6 de la present Ordenança. </w:t>
      </w:r>
    </w:p>
    <w:p w:rsidR="00335BAE" w:rsidRPr="00E65159"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3r.- Subjectes passius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1. Són subjectes passius de la taxa, en concepte de contribuents, les persones físiques i jurídiques, així com les entitats a què es refereix l’article 35.4 de la Llei General Tributària que sol·licitin o resultin beneficiades o afectades, pels serveis de cementiris que constitueixen el fet imposable de la taxa.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2. Els obligats tributaris de les taxes de venciment periòdic que no resideixin a Espanya, hauran de designar un representant amb domicili en territori espanyol. L’esmentada designació haurà de comunicar-se a l’Ajuntament abans del primer </w:t>
      </w:r>
      <w:proofErr w:type="spellStart"/>
      <w:r w:rsidRPr="00E65159">
        <w:rPr>
          <w:sz w:val="18"/>
          <w:szCs w:val="18"/>
        </w:rPr>
        <w:t>acreditament</w:t>
      </w:r>
      <w:proofErr w:type="spellEnd"/>
      <w:r w:rsidRPr="00E65159">
        <w:rPr>
          <w:sz w:val="18"/>
          <w:szCs w:val="18"/>
        </w:rPr>
        <w:t xml:space="preserve"> de la taxa posterior a l’alta en el registre de contribuents. </w:t>
      </w:r>
    </w:p>
    <w:p w:rsidR="00335BAE" w:rsidRPr="00E65159"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4.- Responsables i successors.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1. Són responsables tributaris les persones físiques i jurídiques determinades com a tals a la Llei General Tributària i a l’Ordenança General.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2. La derivació de responsabilitat requerirà que, prèvia audiència de l’interessat, es dicti acte administratiu, en els termes previstos a la Llei General Tributària.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3. Les obligacions tributàries pendents s’exigiran als successors de les persones físiques, jurídiques i entitats sense personalitat, en els termes previstos a la Llei General Tributària i a l’Ordenança General. </w:t>
      </w:r>
    </w:p>
    <w:p w:rsidR="00335BAE" w:rsidRPr="00E65159"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5è.- Beneficis fiscals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1. No s’aplicaran exempcions, bonificacions ni reduccions per a la determinació del deute tributari que els subjectes passius hagin de satisfer per aquesta taxa. </w:t>
      </w:r>
    </w:p>
    <w:p w:rsidR="00335BAE" w:rsidRPr="00E65159"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2. Malgrat el disposat a l’apartat anterior, a l’article 6.2 d’aquesta Ordenança es contenen tarifes reduïdes aplicables quan els subjectes passius acreditin escassa capacitat econòmica. </w:t>
      </w:r>
    </w:p>
    <w:p w:rsidR="00335BAE"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6è.- Quota tributària </w:t>
      </w:r>
    </w:p>
    <w:p w:rsidR="00335BAE" w:rsidRDefault="00335BAE" w:rsidP="00335BAE">
      <w:pPr>
        <w:jc w:val="both"/>
        <w:rPr>
          <w:rFonts w:ascii="Arial" w:hAnsi="Arial" w:cs="Arial"/>
          <w:sz w:val="18"/>
          <w:szCs w:val="18"/>
        </w:rPr>
      </w:pPr>
    </w:p>
    <w:p w:rsidR="00335BAE" w:rsidRPr="00D45EBA" w:rsidRDefault="00335BAE" w:rsidP="00335BAE">
      <w:pPr>
        <w:jc w:val="both"/>
        <w:rPr>
          <w:rFonts w:ascii="Arial" w:hAnsi="Arial" w:cs="Arial"/>
          <w:sz w:val="18"/>
          <w:szCs w:val="18"/>
          <w:lang w:val="ca-ES"/>
        </w:rPr>
      </w:pPr>
      <w:r w:rsidRPr="00D45EBA">
        <w:rPr>
          <w:rFonts w:ascii="Arial" w:hAnsi="Arial" w:cs="Arial"/>
          <w:sz w:val="18"/>
          <w:szCs w:val="18"/>
          <w:lang w:val="ca-ES"/>
        </w:rPr>
        <w:t>1. La quantia de la taxa es determinarà aplicant les tarifes següent:</w:t>
      </w:r>
    </w:p>
    <w:p w:rsidR="00335BAE" w:rsidRPr="00E65159" w:rsidRDefault="00335BAE" w:rsidP="00335BAE">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701"/>
        <w:gridCol w:w="1701"/>
      </w:tblGrid>
      <w:tr w:rsidR="00335BAE" w:rsidRPr="002059BE" w:rsidTr="005C1B7D">
        <w:trPr>
          <w:trHeight w:val="425"/>
        </w:trPr>
        <w:tc>
          <w:tcPr>
            <w:tcW w:w="4503" w:type="dxa"/>
            <w:shd w:val="clear" w:color="auto" w:fill="D9D9D9"/>
            <w:vAlign w:val="center"/>
          </w:tcPr>
          <w:p w:rsidR="00335BAE" w:rsidRPr="002059BE" w:rsidRDefault="00335BAE" w:rsidP="005C1B7D">
            <w:pPr>
              <w:jc w:val="both"/>
              <w:rPr>
                <w:rFonts w:ascii="Arial" w:hAnsi="Arial" w:cs="Arial"/>
                <w:b/>
                <w:i/>
                <w:sz w:val="18"/>
                <w:szCs w:val="18"/>
                <w:lang w:val="ca-ES"/>
              </w:rPr>
            </w:pPr>
            <w:r w:rsidRPr="002059BE">
              <w:rPr>
                <w:rFonts w:ascii="Arial" w:hAnsi="Arial" w:cs="Arial"/>
                <w:b/>
                <w:i/>
                <w:sz w:val="18"/>
                <w:szCs w:val="18"/>
                <w:lang w:val="ca-ES"/>
              </w:rPr>
              <w:t>Epígraf primer. Lloguer i concessió de nínxols</w:t>
            </w:r>
          </w:p>
        </w:tc>
        <w:tc>
          <w:tcPr>
            <w:tcW w:w="3402" w:type="dxa"/>
            <w:gridSpan w:val="2"/>
            <w:shd w:val="clear" w:color="auto" w:fill="D9D9D9"/>
            <w:vAlign w:val="center"/>
          </w:tcPr>
          <w:p w:rsidR="00335BAE" w:rsidRPr="002059BE" w:rsidRDefault="00335BAE" w:rsidP="005C1B7D">
            <w:pPr>
              <w:jc w:val="center"/>
              <w:rPr>
                <w:rFonts w:ascii="Arial" w:hAnsi="Arial" w:cs="Arial"/>
                <w:b/>
                <w:sz w:val="18"/>
                <w:szCs w:val="18"/>
                <w:lang w:val="ca-ES"/>
              </w:rPr>
            </w:pPr>
            <w:r w:rsidRPr="002059BE">
              <w:rPr>
                <w:rFonts w:ascii="Arial" w:hAnsi="Arial" w:cs="Arial"/>
                <w:b/>
                <w:sz w:val="18"/>
                <w:szCs w:val="18"/>
                <w:lang w:val="ca-ES"/>
              </w:rPr>
              <w:t>euros</w:t>
            </w:r>
          </w:p>
        </w:tc>
      </w:tr>
      <w:tr w:rsidR="00335BAE" w:rsidRPr="002059BE" w:rsidTr="005C1B7D">
        <w:trPr>
          <w:trHeight w:val="425"/>
        </w:trPr>
        <w:tc>
          <w:tcPr>
            <w:tcW w:w="4503" w:type="dxa"/>
            <w:shd w:val="clear" w:color="auto" w:fill="auto"/>
            <w:vAlign w:val="center"/>
          </w:tcPr>
          <w:p w:rsidR="00335BAE" w:rsidRPr="002059BE" w:rsidRDefault="00335BAE" w:rsidP="005C1B7D">
            <w:pPr>
              <w:jc w:val="both"/>
              <w:rPr>
                <w:rFonts w:ascii="Arial" w:hAnsi="Arial" w:cs="Arial"/>
                <w:sz w:val="18"/>
                <w:szCs w:val="18"/>
                <w:lang w:val="ca-ES"/>
              </w:rPr>
            </w:pPr>
            <w:r w:rsidRPr="002059BE">
              <w:rPr>
                <w:rFonts w:ascii="Arial" w:hAnsi="Arial" w:cs="Arial"/>
                <w:sz w:val="18"/>
                <w:szCs w:val="18"/>
                <w:lang w:val="ca-ES"/>
              </w:rPr>
              <w:t>A) Nínxols en concessió per 50 anys</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755,30</w:t>
            </w:r>
          </w:p>
        </w:tc>
      </w:tr>
      <w:tr w:rsidR="00335BAE" w:rsidRPr="002059BE" w:rsidTr="005C1B7D">
        <w:trPr>
          <w:trHeight w:val="425"/>
        </w:trPr>
        <w:tc>
          <w:tcPr>
            <w:tcW w:w="4503" w:type="dxa"/>
            <w:shd w:val="clear" w:color="auto" w:fill="auto"/>
            <w:vAlign w:val="center"/>
          </w:tcPr>
          <w:p w:rsidR="00335BAE" w:rsidRPr="002059BE" w:rsidRDefault="00335BAE" w:rsidP="005C1B7D">
            <w:pPr>
              <w:jc w:val="both"/>
              <w:rPr>
                <w:rFonts w:ascii="Arial" w:hAnsi="Arial" w:cs="Arial"/>
                <w:sz w:val="18"/>
                <w:szCs w:val="18"/>
                <w:lang w:val="ca-ES"/>
              </w:rPr>
            </w:pPr>
            <w:r w:rsidRPr="002059BE">
              <w:rPr>
                <w:rFonts w:ascii="Arial" w:hAnsi="Arial" w:cs="Arial"/>
                <w:sz w:val="18"/>
                <w:szCs w:val="18"/>
                <w:lang w:val="ca-ES"/>
              </w:rPr>
              <w:t>B) Nínxols en concessió (5 anys)</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189,12</w:t>
            </w:r>
          </w:p>
        </w:tc>
      </w:tr>
      <w:tr w:rsidR="00335BAE" w:rsidRPr="002059BE" w:rsidTr="005C1B7D">
        <w:trPr>
          <w:trHeight w:val="425"/>
        </w:trPr>
        <w:tc>
          <w:tcPr>
            <w:tcW w:w="4503" w:type="dxa"/>
            <w:shd w:val="clear" w:color="auto" w:fill="D9D9D9"/>
            <w:vAlign w:val="center"/>
          </w:tcPr>
          <w:p w:rsidR="00335BAE" w:rsidRPr="002059BE" w:rsidRDefault="00335BAE" w:rsidP="005C1B7D">
            <w:pPr>
              <w:jc w:val="both"/>
              <w:rPr>
                <w:rFonts w:ascii="Arial" w:hAnsi="Arial" w:cs="Arial"/>
                <w:b/>
                <w:i/>
                <w:sz w:val="18"/>
                <w:szCs w:val="18"/>
                <w:lang w:val="ca-ES"/>
              </w:rPr>
            </w:pPr>
            <w:r w:rsidRPr="002059BE">
              <w:rPr>
                <w:rFonts w:ascii="Arial" w:hAnsi="Arial" w:cs="Arial"/>
                <w:b/>
                <w:i/>
                <w:sz w:val="18"/>
                <w:szCs w:val="18"/>
                <w:lang w:val="ca-ES"/>
              </w:rPr>
              <w:t>Epígraf segon. Col·locació de làpides, reixes, guarniments i creus</w:t>
            </w:r>
          </w:p>
        </w:tc>
        <w:tc>
          <w:tcPr>
            <w:tcW w:w="3402" w:type="dxa"/>
            <w:gridSpan w:val="2"/>
            <w:shd w:val="clear" w:color="auto" w:fill="D9D9D9"/>
            <w:vAlign w:val="center"/>
          </w:tcPr>
          <w:p w:rsidR="00335BAE" w:rsidRPr="002059BE" w:rsidRDefault="00335BAE" w:rsidP="005C1B7D">
            <w:pPr>
              <w:jc w:val="center"/>
              <w:rPr>
                <w:rFonts w:ascii="Arial" w:hAnsi="Arial" w:cs="Arial"/>
                <w:sz w:val="18"/>
                <w:szCs w:val="18"/>
                <w:lang w:val="ca-ES"/>
              </w:rPr>
            </w:pP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sz w:val="18"/>
                <w:szCs w:val="18"/>
              </w:rPr>
              <w:t>A) Per l’autorització per col·locar làpides, reixes, guarniments i creus en nínxol</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25,75</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sz w:val="18"/>
                <w:szCs w:val="18"/>
              </w:rPr>
              <w:t xml:space="preserve">B) Per l’autorització per col·locar làpides, reixes, guarniments i creus en panteó o tomba </w:t>
            </w:r>
          </w:p>
          <w:p w:rsidR="00335BAE" w:rsidRPr="002059BE" w:rsidRDefault="00335BAE" w:rsidP="005C1B7D">
            <w:pPr>
              <w:jc w:val="both"/>
              <w:rPr>
                <w:rFonts w:ascii="Arial" w:hAnsi="Arial" w:cs="Arial"/>
                <w:sz w:val="18"/>
                <w:szCs w:val="18"/>
                <w:lang w:val="ca-ES"/>
              </w:rPr>
            </w:pP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51,50</w:t>
            </w:r>
          </w:p>
        </w:tc>
      </w:tr>
      <w:tr w:rsidR="00335BAE" w:rsidRPr="002059BE" w:rsidTr="005C1B7D">
        <w:trPr>
          <w:trHeight w:val="425"/>
        </w:trPr>
        <w:tc>
          <w:tcPr>
            <w:tcW w:w="4503" w:type="dxa"/>
            <w:shd w:val="clear" w:color="auto" w:fill="D9D9D9"/>
            <w:vAlign w:val="center"/>
          </w:tcPr>
          <w:p w:rsidR="00335BAE" w:rsidRPr="002059BE" w:rsidRDefault="00335BAE" w:rsidP="005C1B7D">
            <w:pPr>
              <w:jc w:val="both"/>
              <w:rPr>
                <w:rFonts w:ascii="Arial" w:hAnsi="Arial" w:cs="Arial"/>
                <w:b/>
                <w:i/>
                <w:sz w:val="18"/>
                <w:szCs w:val="18"/>
                <w:lang w:val="ca-ES"/>
              </w:rPr>
            </w:pPr>
            <w:r w:rsidRPr="002059BE">
              <w:rPr>
                <w:rFonts w:ascii="Arial" w:hAnsi="Arial" w:cs="Arial"/>
                <w:b/>
                <w:i/>
                <w:sz w:val="18"/>
                <w:szCs w:val="18"/>
                <w:lang w:val="ca-ES"/>
              </w:rPr>
              <w:lastRenderedPageBreak/>
              <w:t>Epígraf tercer. Registre transmissions</w:t>
            </w:r>
          </w:p>
        </w:tc>
        <w:tc>
          <w:tcPr>
            <w:tcW w:w="1701" w:type="dxa"/>
            <w:shd w:val="clear" w:color="auto" w:fill="D9D9D9"/>
            <w:vAlign w:val="center"/>
          </w:tcPr>
          <w:p w:rsidR="00335BAE" w:rsidRPr="002059BE" w:rsidRDefault="00335BAE" w:rsidP="005C1B7D">
            <w:pPr>
              <w:jc w:val="center"/>
              <w:rPr>
                <w:rFonts w:ascii="Arial" w:hAnsi="Arial" w:cs="Arial"/>
                <w:b/>
                <w:sz w:val="18"/>
                <w:szCs w:val="18"/>
                <w:lang w:val="ca-ES"/>
              </w:rPr>
            </w:pPr>
            <w:r w:rsidRPr="002059BE">
              <w:rPr>
                <w:rFonts w:ascii="Arial" w:hAnsi="Arial" w:cs="Arial"/>
                <w:b/>
                <w:sz w:val="18"/>
                <w:szCs w:val="18"/>
                <w:lang w:val="ca-ES"/>
              </w:rPr>
              <w:t>Mausoleus</w:t>
            </w:r>
          </w:p>
        </w:tc>
        <w:tc>
          <w:tcPr>
            <w:tcW w:w="1701" w:type="dxa"/>
            <w:shd w:val="clear" w:color="auto" w:fill="D9D9D9"/>
            <w:vAlign w:val="center"/>
          </w:tcPr>
          <w:p w:rsidR="00335BAE" w:rsidRPr="002059BE" w:rsidRDefault="00335BAE" w:rsidP="005C1B7D">
            <w:pPr>
              <w:jc w:val="center"/>
              <w:rPr>
                <w:rFonts w:ascii="Arial" w:hAnsi="Arial" w:cs="Arial"/>
                <w:b/>
                <w:sz w:val="18"/>
                <w:szCs w:val="18"/>
                <w:lang w:val="ca-ES"/>
              </w:rPr>
            </w:pPr>
            <w:r w:rsidRPr="002059BE">
              <w:rPr>
                <w:rFonts w:ascii="Arial" w:hAnsi="Arial" w:cs="Arial"/>
                <w:b/>
                <w:sz w:val="18"/>
                <w:szCs w:val="18"/>
                <w:lang w:val="ca-ES"/>
              </w:rPr>
              <w:t>Nínxols</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 xml:space="preserve">A) </w:t>
            </w:r>
            <w:r w:rsidRPr="002059BE">
              <w:rPr>
                <w:sz w:val="18"/>
                <w:szCs w:val="18"/>
              </w:rPr>
              <w:t>Per cada inscripció en els registres municipals de transmissió de les concessions de tota mena de sepultures o nínxols.</w:t>
            </w:r>
          </w:p>
        </w:tc>
        <w:tc>
          <w:tcPr>
            <w:tcW w:w="1701" w:type="dxa"/>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77,43</w:t>
            </w:r>
          </w:p>
        </w:tc>
        <w:tc>
          <w:tcPr>
            <w:tcW w:w="1701" w:type="dxa"/>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23,71</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B) Expedició de títol</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15,45</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sz w:val="18"/>
                <w:szCs w:val="18"/>
              </w:rPr>
              <w:t>C) Expedició de duplicat de títol</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20,60</w:t>
            </w:r>
          </w:p>
        </w:tc>
      </w:tr>
      <w:tr w:rsidR="00335BAE" w:rsidRPr="002059BE" w:rsidTr="005C1B7D">
        <w:trPr>
          <w:trHeight w:val="425"/>
        </w:trPr>
        <w:tc>
          <w:tcPr>
            <w:tcW w:w="4503" w:type="dxa"/>
            <w:shd w:val="clear" w:color="auto" w:fill="D9D9D9"/>
            <w:vAlign w:val="center"/>
          </w:tcPr>
          <w:p w:rsidR="00335BAE" w:rsidRPr="002059BE" w:rsidRDefault="00335BAE" w:rsidP="005C1B7D">
            <w:pPr>
              <w:jc w:val="both"/>
              <w:rPr>
                <w:rFonts w:ascii="Arial" w:hAnsi="Arial" w:cs="Arial"/>
                <w:b/>
                <w:i/>
                <w:sz w:val="18"/>
                <w:szCs w:val="18"/>
                <w:lang w:val="ca-ES"/>
              </w:rPr>
            </w:pPr>
            <w:r w:rsidRPr="002059BE">
              <w:rPr>
                <w:rFonts w:ascii="Arial" w:hAnsi="Arial" w:cs="Arial"/>
                <w:b/>
                <w:i/>
                <w:sz w:val="18"/>
                <w:szCs w:val="18"/>
                <w:lang w:val="ca-ES"/>
              </w:rPr>
              <w:t>Epígraf quart. Inhumacions</w:t>
            </w:r>
          </w:p>
        </w:tc>
        <w:tc>
          <w:tcPr>
            <w:tcW w:w="3402" w:type="dxa"/>
            <w:gridSpan w:val="2"/>
            <w:shd w:val="clear" w:color="auto" w:fill="D9D9D9"/>
            <w:vAlign w:val="center"/>
          </w:tcPr>
          <w:p w:rsidR="00335BAE" w:rsidRPr="002059BE" w:rsidRDefault="00335BAE" w:rsidP="005C1B7D">
            <w:pPr>
              <w:jc w:val="center"/>
              <w:rPr>
                <w:rFonts w:ascii="Arial" w:hAnsi="Arial" w:cs="Arial"/>
                <w:sz w:val="18"/>
                <w:szCs w:val="18"/>
                <w:lang w:val="ca-ES"/>
              </w:rPr>
            </w:pP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A) En mausoleu</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37,59</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B) Nínxols en concessió (50 anys)</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37,59</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C) Nínxols en concessió (5anys)</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37,59</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D) En columbari</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19,40</w:t>
            </w:r>
          </w:p>
        </w:tc>
      </w:tr>
      <w:tr w:rsidR="00335BAE" w:rsidRPr="002059BE" w:rsidTr="005C1B7D">
        <w:trPr>
          <w:trHeight w:val="425"/>
        </w:trPr>
        <w:tc>
          <w:tcPr>
            <w:tcW w:w="4503" w:type="dxa"/>
            <w:shd w:val="clear" w:color="auto" w:fill="D9D9D9"/>
            <w:vAlign w:val="center"/>
          </w:tcPr>
          <w:p w:rsidR="00335BAE" w:rsidRPr="002059BE" w:rsidRDefault="00335BAE" w:rsidP="005C1B7D">
            <w:pPr>
              <w:jc w:val="both"/>
              <w:rPr>
                <w:rFonts w:ascii="Arial" w:hAnsi="Arial" w:cs="Arial"/>
                <w:b/>
                <w:i/>
                <w:sz w:val="18"/>
                <w:szCs w:val="18"/>
                <w:lang w:val="ca-ES"/>
              </w:rPr>
            </w:pPr>
            <w:r w:rsidRPr="002059BE">
              <w:rPr>
                <w:rFonts w:ascii="Arial" w:hAnsi="Arial" w:cs="Arial"/>
                <w:b/>
                <w:i/>
                <w:sz w:val="18"/>
                <w:szCs w:val="18"/>
                <w:lang w:val="ca-ES"/>
              </w:rPr>
              <w:t>Epígraf cinquè. Exhumacions</w:t>
            </w:r>
          </w:p>
        </w:tc>
        <w:tc>
          <w:tcPr>
            <w:tcW w:w="3402" w:type="dxa"/>
            <w:gridSpan w:val="2"/>
            <w:shd w:val="clear" w:color="auto" w:fill="D9D9D9"/>
            <w:vAlign w:val="center"/>
          </w:tcPr>
          <w:p w:rsidR="00335BAE" w:rsidRPr="002059BE" w:rsidRDefault="00335BAE" w:rsidP="005C1B7D">
            <w:pPr>
              <w:jc w:val="center"/>
              <w:rPr>
                <w:rFonts w:ascii="Arial" w:hAnsi="Arial" w:cs="Arial"/>
                <w:sz w:val="18"/>
                <w:szCs w:val="18"/>
                <w:lang w:val="ca-ES"/>
              </w:rPr>
            </w:pP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A) De mausoleu</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67,87</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B) De nínxols</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23,03</w:t>
            </w:r>
          </w:p>
        </w:tc>
      </w:tr>
      <w:tr w:rsidR="00335BAE" w:rsidRPr="002059BE" w:rsidTr="005C1B7D">
        <w:trPr>
          <w:trHeight w:val="425"/>
        </w:trPr>
        <w:tc>
          <w:tcPr>
            <w:tcW w:w="4503" w:type="dxa"/>
            <w:shd w:val="clear" w:color="auto" w:fill="D9D9D9"/>
            <w:vAlign w:val="center"/>
          </w:tcPr>
          <w:p w:rsidR="00335BAE" w:rsidRPr="002059BE" w:rsidRDefault="00335BAE" w:rsidP="005C1B7D">
            <w:pPr>
              <w:jc w:val="both"/>
              <w:rPr>
                <w:rFonts w:ascii="Arial" w:hAnsi="Arial" w:cs="Arial"/>
                <w:b/>
                <w:i/>
                <w:sz w:val="18"/>
                <w:szCs w:val="18"/>
                <w:lang w:val="ca-ES"/>
              </w:rPr>
            </w:pPr>
            <w:r w:rsidRPr="002059BE">
              <w:rPr>
                <w:rFonts w:ascii="Arial" w:hAnsi="Arial" w:cs="Arial"/>
                <w:b/>
                <w:i/>
                <w:sz w:val="18"/>
                <w:szCs w:val="18"/>
                <w:lang w:val="ca-ES"/>
              </w:rPr>
              <w:t>Epígraf sisè. Trasllat</w:t>
            </w:r>
          </w:p>
        </w:tc>
        <w:tc>
          <w:tcPr>
            <w:tcW w:w="3402" w:type="dxa"/>
            <w:gridSpan w:val="2"/>
            <w:shd w:val="clear" w:color="auto" w:fill="D9D9D9"/>
            <w:vAlign w:val="center"/>
          </w:tcPr>
          <w:p w:rsidR="00335BAE" w:rsidRPr="002059BE" w:rsidRDefault="00335BAE" w:rsidP="005C1B7D">
            <w:pPr>
              <w:jc w:val="center"/>
              <w:rPr>
                <w:rFonts w:ascii="Arial" w:hAnsi="Arial" w:cs="Arial"/>
                <w:sz w:val="18"/>
                <w:szCs w:val="18"/>
                <w:lang w:val="ca-ES"/>
              </w:rPr>
            </w:pP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sz w:val="18"/>
                <w:szCs w:val="18"/>
              </w:rPr>
              <w:t>Trasllat de cadàvers i restes dins del mateix cementiri</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23,03</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sz w:val="18"/>
                <w:szCs w:val="18"/>
              </w:rPr>
              <w:t>Trasllat de cadàvers i restes a altres cementiris</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19,40</w:t>
            </w:r>
          </w:p>
        </w:tc>
      </w:tr>
      <w:tr w:rsidR="00335BAE" w:rsidRPr="002059BE" w:rsidTr="005C1B7D">
        <w:trPr>
          <w:trHeight w:val="425"/>
        </w:trPr>
        <w:tc>
          <w:tcPr>
            <w:tcW w:w="4503" w:type="dxa"/>
            <w:shd w:val="clear" w:color="auto" w:fill="D9D9D9"/>
            <w:vAlign w:val="center"/>
          </w:tcPr>
          <w:p w:rsidR="00335BAE" w:rsidRPr="002059BE" w:rsidRDefault="00335BAE" w:rsidP="005C1B7D">
            <w:pPr>
              <w:jc w:val="both"/>
              <w:rPr>
                <w:rFonts w:ascii="Arial" w:hAnsi="Arial" w:cs="Arial"/>
                <w:b/>
                <w:i/>
                <w:sz w:val="18"/>
                <w:szCs w:val="18"/>
                <w:lang w:val="ca-ES"/>
              </w:rPr>
            </w:pPr>
            <w:r w:rsidRPr="002059BE">
              <w:rPr>
                <w:rFonts w:ascii="Arial" w:hAnsi="Arial" w:cs="Arial"/>
                <w:b/>
                <w:i/>
                <w:sz w:val="18"/>
                <w:szCs w:val="18"/>
                <w:lang w:val="ca-ES"/>
              </w:rPr>
              <w:t>Epígraf setè. Conservació i neteja</w:t>
            </w:r>
          </w:p>
        </w:tc>
        <w:tc>
          <w:tcPr>
            <w:tcW w:w="3402" w:type="dxa"/>
            <w:gridSpan w:val="2"/>
            <w:shd w:val="clear" w:color="auto" w:fill="D9D9D9"/>
            <w:vAlign w:val="center"/>
          </w:tcPr>
          <w:p w:rsidR="00335BAE" w:rsidRPr="002059BE" w:rsidRDefault="00335BAE" w:rsidP="005C1B7D">
            <w:pPr>
              <w:jc w:val="center"/>
              <w:rPr>
                <w:rFonts w:ascii="Arial" w:hAnsi="Arial" w:cs="Arial"/>
                <w:sz w:val="18"/>
                <w:szCs w:val="18"/>
                <w:lang w:val="ca-ES"/>
              </w:rPr>
            </w:pP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 xml:space="preserve">A) </w:t>
            </w:r>
            <w:r w:rsidRPr="002059BE">
              <w:rPr>
                <w:sz w:val="18"/>
                <w:szCs w:val="18"/>
              </w:rPr>
              <w:t>Per la realització de reparacions d’urgència o de treballs de conservació i neteja, bé a instància de part bé d’ofici, quan, requerit per això, el particular no atengués el requeriment en el termini concedit a aquest efecte, a més del valor dels materials utilitzats, s’exigirà per cada operari i hora</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25,75</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B) Conservació anual per cada mausoleu</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61,80</w:t>
            </w:r>
          </w:p>
        </w:tc>
      </w:tr>
      <w:tr w:rsidR="00335BAE" w:rsidRPr="002059BE" w:rsidTr="005C1B7D">
        <w:trPr>
          <w:trHeight w:val="425"/>
        </w:trPr>
        <w:tc>
          <w:tcPr>
            <w:tcW w:w="4503" w:type="dxa"/>
            <w:shd w:val="clear" w:color="auto" w:fill="auto"/>
            <w:vAlign w:val="center"/>
          </w:tcPr>
          <w:p w:rsidR="00335BAE" w:rsidRPr="002059BE" w:rsidRDefault="00335BAE" w:rsidP="005C1B7D">
            <w:pPr>
              <w:pStyle w:val="Default"/>
              <w:jc w:val="both"/>
              <w:rPr>
                <w:sz w:val="18"/>
                <w:szCs w:val="18"/>
              </w:rPr>
            </w:pPr>
            <w:r w:rsidRPr="002059BE">
              <w:rPr>
                <w:bCs/>
                <w:sz w:val="18"/>
                <w:szCs w:val="18"/>
              </w:rPr>
              <w:t xml:space="preserve">C) </w:t>
            </w:r>
            <w:r w:rsidRPr="002059BE">
              <w:rPr>
                <w:sz w:val="18"/>
                <w:szCs w:val="18"/>
              </w:rPr>
              <w:t>Per cada nínxol, a l’any</w:t>
            </w:r>
          </w:p>
        </w:tc>
        <w:tc>
          <w:tcPr>
            <w:tcW w:w="3402" w:type="dxa"/>
            <w:gridSpan w:val="2"/>
            <w:shd w:val="clear" w:color="auto" w:fill="auto"/>
            <w:vAlign w:val="center"/>
          </w:tcPr>
          <w:p w:rsidR="00335BAE" w:rsidRPr="002059BE" w:rsidRDefault="00335BAE" w:rsidP="005C1B7D">
            <w:pPr>
              <w:jc w:val="center"/>
              <w:rPr>
                <w:rFonts w:ascii="Arial" w:hAnsi="Arial" w:cs="Arial"/>
                <w:sz w:val="18"/>
                <w:szCs w:val="18"/>
                <w:lang w:val="ca-ES"/>
              </w:rPr>
            </w:pPr>
            <w:r w:rsidRPr="002059BE">
              <w:rPr>
                <w:rFonts w:ascii="Arial" w:hAnsi="Arial" w:cs="Arial"/>
                <w:sz w:val="18"/>
                <w:szCs w:val="18"/>
                <w:lang w:val="ca-ES"/>
              </w:rPr>
              <w:t>35,00</w:t>
            </w:r>
          </w:p>
        </w:tc>
      </w:tr>
    </w:tbl>
    <w:p w:rsidR="00335BAE" w:rsidRDefault="00335BAE" w:rsidP="00335BAE">
      <w:pPr>
        <w:jc w:val="both"/>
        <w:rPr>
          <w:rFonts w:ascii="Arial" w:hAnsi="Arial" w:cs="Arial"/>
          <w:sz w:val="18"/>
          <w:szCs w:val="18"/>
        </w:rPr>
      </w:pPr>
    </w:p>
    <w:p w:rsidR="00335BAE" w:rsidRPr="00E65159" w:rsidRDefault="00335BAE" w:rsidP="00335BAE">
      <w:pPr>
        <w:jc w:val="both"/>
        <w:rPr>
          <w:rFonts w:ascii="Arial" w:hAnsi="Arial" w:cs="Arial"/>
          <w:sz w:val="18"/>
          <w:szCs w:val="18"/>
        </w:rPr>
      </w:pPr>
    </w:p>
    <w:p w:rsidR="00335BAE" w:rsidRPr="00E65159" w:rsidRDefault="00335BAE" w:rsidP="00335BAE">
      <w:pPr>
        <w:pStyle w:val="Default"/>
        <w:jc w:val="both"/>
        <w:rPr>
          <w:sz w:val="18"/>
          <w:szCs w:val="18"/>
        </w:rPr>
      </w:pPr>
      <w:r w:rsidRPr="00E65159">
        <w:rPr>
          <w:sz w:val="18"/>
          <w:szCs w:val="18"/>
        </w:rPr>
        <w:t xml:space="preserve">2. En situacions de necessitat econòmica, la Junta de Govern Local podrà concedir bonificacions proporcionals a les possibilitats familiars, que en cas d’absoluta impossibilitat econòmica podran arribar al 100% de les tarifes anteriors, a petició dels interessats i previ informe de l’Àrea de Serveis Socials.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3. En situacions d’absoluta impossibilitat econòmica par a satisfer les tarifes anteriors, es prestaran els serveis gratuïtament, previ informe de l’Àrea de Serveis Socials. </w:t>
      </w:r>
    </w:p>
    <w:p w:rsidR="00335BAE"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7è.- </w:t>
      </w:r>
      <w:proofErr w:type="spellStart"/>
      <w:r w:rsidRPr="00E65159">
        <w:rPr>
          <w:i/>
          <w:iCs/>
          <w:sz w:val="18"/>
          <w:szCs w:val="18"/>
        </w:rPr>
        <w:t>Acreditament</w:t>
      </w:r>
      <w:proofErr w:type="spellEnd"/>
      <w:r w:rsidRPr="00E65159">
        <w:rPr>
          <w:i/>
          <w:iCs/>
          <w:sz w:val="18"/>
          <w:szCs w:val="18"/>
        </w:rPr>
        <w:t xml:space="preserve"> i període impositiu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1. En els supòsits, relatiu a actuacions singulars dels serveis municipals, la taxa s’acreditarà quan s’iniciï la prestació del servei, encara que s’exigirà el dipòsit previ quan es formuli la sol·licitud d’aquest servei.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2. En el supòsit contemplat en l’epígraf setè b) i c), </w:t>
      </w:r>
      <w:proofErr w:type="spellStart"/>
      <w:r w:rsidRPr="00E65159">
        <w:rPr>
          <w:sz w:val="18"/>
          <w:szCs w:val="18"/>
        </w:rPr>
        <w:t>l’acreditament</w:t>
      </w:r>
      <w:proofErr w:type="spellEnd"/>
      <w:r w:rsidRPr="00E65159">
        <w:rPr>
          <w:sz w:val="18"/>
          <w:szCs w:val="18"/>
        </w:rPr>
        <w:t xml:space="preserve"> tindrà lloc l’1 de gener de cada any i el període impositiu comprendrà l’any natural. </w:t>
      </w:r>
    </w:p>
    <w:p w:rsidR="00335BAE" w:rsidRPr="00E65159" w:rsidRDefault="00335BAE" w:rsidP="00335BAE">
      <w:pPr>
        <w:pStyle w:val="Default"/>
        <w:jc w:val="both"/>
        <w:rPr>
          <w:sz w:val="18"/>
          <w:szCs w:val="18"/>
        </w:rPr>
      </w:pPr>
      <w:r w:rsidRPr="00E65159">
        <w:rPr>
          <w:sz w:val="18"/>
          <w:szCs w:val="18"/>
        </w:rPr>
        <w:t xml:space="preserve">La quota anual és </w:t>
      </w:r>
      <w:proofErr w:type="spellStart"/>
      <w:r w:rsidRPr="00E65159">
        <w:rPr>
          <w:sz w:val="18"/>
          <w:szCs w:val="18"/>
        </w:rPr>
        <w:t>irreduïble</w:t>
      </w:r>
      <w:proofErr w:type="spellEnd"/>
      <w:r w:rsidRPr="00E65159">
        <w:rPr>
          <w:sz w:val="18"/>
          <w:szCs w:val="18"/>
        </w:rPr>
        <w:t xml:space="preserve">. </w:t>
      </w:r>
    </w:p>
    <w:p w:rsidR="00335BAE"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8è.- Règim de declaració i d’ingrés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1. En els supòsits de l'epígraf primer, la taxa s’exigirà en règim d’autoliquidació.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Quan es sol·licita la prestació del servei, es presentarà degudament complimentat l’imprès d’autoliquidació de la taxa, i s’ingressarà el seu import.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Alternativament, poden presentar-se en el Servei Municipal competent els elements de la declaració a l’objecte que el funcionari municipal responsable presti l’assistència necessària per a determinar el deute.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2. Tractant-se de la taxa de venciment periòdic, per conservació i neteja dels nínxols establerta en l’epígraf segon, el pagament de la taxa s’efectuarà en el període que aprovi i anunciï l’Ajuntament, el qual no serà inferior a dos mesos. Amb la finalitat de facilitar el pagament, l’Ajuntament remetrà al domicili del subjecte passiu un document apte per a permetre el pagament en entitat bancària col·laboradora.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No obstant, la no recepció del document de pagament esmentat no invalida l’obligació de satisfer la taxa en el període determinat per l’Ajuntament en el seu calendari fiscal. </w:t>
      </w:r>
    </w:p>
    <w:p w:rsidR="00335BAE"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9è.- Notificacions de les taxes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1. La notificació del deute tributari, o la confirmació de l’autoliquidació, en els supòsits de serveis singulars es realitzarà a l’interessat, en el moment en què es presenta l’autoliquidació, amb caràcter previ a la prestació del servei.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Malgrat el previst a l’apartat anterior, si una vegada verificada la autoliquidació resultés incorrecta, la determinació del deute es practicarà liquidació complementària.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2. En supòsits de taxa per conservació i neteja dels nínxols que té caràcter periòdic, es notificarà personalment al sol·licitant l’alta en el registre de contribuents. La taxa d’exercicis successius es notificarà col·lectivament, mitjançant l’exposició pública del padró.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3. Els períodes de cobrament s’anunciaran mitjançant publicació en el </w:t>
      </w:r>
      <w:r w:rsidRPr="00E65159">
        <w:rPr>
          <w:i/>
          <w:iCs/>
          <w:sz w:val="18"/>
          <w:szCs w:val="18"/>
        </w:rPr>
        <w:t>Butlletí Oficial de la Província de Barcelona</w:t>
      </w:r>
      <w:r w:rsidRPr="00E65159">
        <w:rPr>
          <w:sz w:val="18"/>
          <w:szCs w:val="18"/>
        </w:rPr>
        <w:t xml:space="preserve">. </w:t>
      </w:r>
    </w:p>
    <w:p w:rsidR="00335BAE"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Article 10è.- Infraccions i sancions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Pel que respecta a les infraccions i sancions tributàries que, en relació a la taxa regulada en aquesta Ordenança, resultin procedents, s’aplicarà el que disposa la Llei General Tributària i l’Ordenança General. </w:t>
      </w:r>
    </w:p>
    <w:p w:rsidR="00335BAE" w:rsidRDefault="00335BAE" w:rsidP="00335BAE">
      <w:pPr>
        <w:pStyle w:val="Default"/>
        <w:jc w:val="both"/>
        <w:rPr>
          <w:i/>
          <w:iCs/>
          <w:sz w:val="18"/>
          <w:szCs w:val="18"/>
        </w:rPr>
      </w:pPr>
    </w:p>
    <w:p w:rsidR="00335BAE" w:rsidRDefault="00335BAE" w:rsidP="00335BAE">
      <w:pPr>
        <w:pStyle w:val="Default"/>
        <w:jc w:val="both"/>
        <w:rPr>
          <w:i/>
          <w:iCs/>
          <w:sz w:val="18"/>
          <w:szCs w:val="18"/>
        </w:rPr>
      </w:pPr>
      <w:r w:rsidRPr="00E65159">
        <w:rPr>
          <w:i/>
          <w:iCs/>
          <w:sz w:val="18"/>
          <w:szCs w:val="18"/>
        </w:rPr>
        <w:t xml:space="preserve">Disposició Addicional.- Modificació dels preceptes de l'ordenança i de les referències que fa a la normativa vigent, amb motiu de la promulgació de normes posteriors </w:t>
      </w:r>
    </w:p>
    <w:p w:rsidR="00335BAE"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sz w:val="18"/>
          <w:szCs w:val="18"/>
        </w:rPr>
        <w:t xml:space="preserve">Els preceptes d'aquesta Ordenança fiscal que, per raons sistemàtiques reprodueixin aspectes de la legislació vigent i altres normes de desenvolupament, i aquells en què es facin remissions a preceptes d'aquesta, s'entendrà que són automàticament modificats i/o substituïts, en el moment en què es produeixi la modificació dels preceptes legals i reglamentaris de què porten causa.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Article 11. Concessió de drets.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L’atorgament de tot tipus de dret, a petició de l’interessat, serà atribució de l’Alcaldia, mitjançant la corresponent resolució que restarà transcrita al llibre de Resolucions i Decrets de l’Alcaldia.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Restà aprovat el model de contracta adjunt, que regula la concessió de nínxols.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Article 12. Revisió de drets.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En les concessions a 50 i 5 anys respectivament, 3 mesos abans de finalització del període, l’Ajuntament requerirà personalment als interessats, el titular o titulars de la concessió, que fossin coneguts , i en altre cas, per edicte al Butlletí Oficial en el que s’expressarà el nom de l’últim titular de la concessió, la naturalesa d’aquesta ( panteó, nínxol, etc.) i el número de la mateixa, per que manifesti la seva voluntat d’obtenir, de nou, el dret funerari.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Transcorregut un mes, d’aquest requeriment, es practicarà un nou avís, en la mateixa forma, per altres 15 dies mes, amb la prevenció de que no manifestar-se dins d’aquest últim termini, i no efectuar el pagament </w:t>
      </w:r>
      <w:r w:rsidRPr="00E65159">
        <w:rPr>
          <w:sz w:val="18"/>
          <w:szCs w:val="18"/>
        </w:rPr>
        <w:lastRenderedPageBreak/>
        <w:t xml:space="preserve">de la taxa dels nous drets, l’Ajuntament quedarà autoritzat per disposar de la sepultura, previ trasllat dels restes en el lloc del cementiri designat a tal efecte.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El pagament del nou drets podrà fer-lo qualsevol persona per compte dels interessats.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Article 13. Caducitat de la concessió.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S’entendrà caducada automàticament tota concessió de 50 ò 5 anys si finalitzat aquest període i a requeriment de l’Ajuntament, el titular no manifesta la seva voluntat d’obtenir el dret funerari.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Article. 14. Clàusula de salvaguarda.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Les resolucions que declarin la transmissió, per qualsevol títol, del dret funerari s’entenen sens perjudici de tercers, per la qual cosa si un tercer acredita de forma fefaent el seu millor dret, a través de l’aportació de la documentació demostrativa o sentència judicial que el declari, es procedirà a dictar resolució revocant les transmissions efectuades i atorgant la transmissió en favor de la persona amb millor dret.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En cas que cap persona acrediti el seu dret a la concessió del dret funerari o no existeixin persones cridades a la successió, “</w:t>
      </w:r>
      <w:proofErr w:type="spellStart"/>
      <w:r w:rsidRPr="00E65159">
        <w:rPr>
          <w:sz w:val="18"/>
          <w:szCs w:val="18"/>
        </w:rPr>
        <w:t>inter</w:t>
      </w:r>
      <w:proofErr w:type="spellEnd"/>
      <w:r w:rsidRPr="00E65159">
        <w:rPr>
          <w:sz w:val="18"/>
          <w:szCs w:val="18"/>
        </w:rPr>
        <w:t>-vius” o “</w:t>
      </w:r>
      <w:proofErr w:type="spellStart"/>
      <w:r w:rsidRPr="00E65159">
        <w:rPr>
          <w:sz w:val="18"/>
          <w:szCs w:val="18"/>
        </w:rPr>
        <w:t>mortis</w:t>
      </w:r>
      <w:proofErr w:type="spellEnd"/>
      <w:r w:rsidRPr="00E65159">
        <w:rPr>
          <w:sz w:val="18"/>
          <w:szCs w:val="18"/>
        </w:rPr>
        <w:t xml:space="preserve"> causa”, en el dret, aquest s’entendrà extingit i revertirà al municipi.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Article 15. Gestió per delegació.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1. Si la gestió, la inspecció i la recaptació del tribut han estat delegades total o parcialment en la Diputació de Barcelona, les normes contingudes als articles anteriors seran aplicables a les actuacions que ha de fer l'Administració delegada.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2. L'Organisme de Gestió Tributària establirà els circuits administratius més adients per aconseguir la col·laboració de les organitzacions representatives dels subjectes passius amb el fi de simplificar el compliment de les obligacions formals i materials derivades d’aquelles, o els procediments de liquidació o recaptació. </w:t>
      </w:r>
    </w:p>
    <w:p w:rsidR="00335BAE" w:rsidRDefault="00335BAE" w:rsidP="00335BAE">
      <w:pPr>
        <w:pStyle w:val="Default"/>
        <w:jc w:val="both"/>
        <w:rPr>
          <w:sz w:val="18"/>
          <w:szCs w:val="18"/>
        </w:rPr>
      </w:pPr>
    </w:p>
    <w:p w:rsidR="00335BAE" w:rsidRDefault="00335BAE" w:rsidP="00335BAE">
      <w:pPr>
        <w:pStyle w:val="Default"/>
        <w:jc w:val="both"/>
        <w:rPr>
          <w:sz w:val="18"/>
          <w:szCs w:val="18"/>
        </w:rPr>
      </w:pPr>
      <w:r w:rsidRPr="00E65159">
        <w:rPr>
          <w:sz w:val="18"/>
          <w:szCs w:val="18"/>
        </w:rPr>
        <w:t xml:space="preserve">3. Totes les actuacions de gestió, inspecció i recaptació que dugui a terme l'Organisme de Gestió Tributària s'ajustaran al que preveu la normativa vigent i a la seva Ordenança General de Gestió, Inspecció i Recaptació, aplicable als processos de gestió dels ingressos locals, la titularitat dels quals correspon als Municipis de la província de Barcelona que han delegat les seves facultats en la Diputació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Disposició Addicional. Modificació dels preceptes de l'ordenança i de les referències que fa a la normativa vigent, amb motiu de la promulgació de normes posteriors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E65159">
        <w:rPr>
          <w:sz w:val="18"/>
          <w:szCs w:val="18"/>
        </w:rPr>
        <w:t xml:space="preserve">Els preceptes d'aquesta Ordenança fiscal que, per raons sistemàtiques reprodueixin aspectes de la legislació vigent i altres normes de desenvolupament, i aquells en què es facin remissions a preceptes d'aquesta, s'entendrà que són automàticament modificats i/o substituïts, en el moment en què es produeixi la modificació dels preceptes legals i reglamentaris de què porten causa. </w:t>
      </w:r>
    </w:p>
    <w:p w:rsidR="00335BAE" w:rsidRDefault="00335BAE" w:rsidP="00335BAE">
      <w:pPr>
        <w:pStyle w:val="Default"/>
        <w:jc w:val="both"/>
        <w:rPr>
          <w:i/>
          <w:iCs/>
          <w:sz w:val="18"/>
          <w:szCs w:val="18"/>
        </w:rPr>
      </w:pPr>
    </w:p>
    <w:p w:rsidR="00335BAE" w:rsidRPr="00E65159" w:rsidRDefault="00335BAE" w:rsidP="00335BAE">
      <w:pPr>
        <w:pStyle w:val="Default"/>
        <w:jc w:val="both"/>
        <w:rPr>
          <w:sz w:val="18"/>
          <w:szCs w:val="18"/>
        </w:rPr>
      </w:pPr>
      <w:r w:rsidRPr="00E65159">
        <w:rPr>
          <w:i/>
          <w:iCs/>
          <w:sz w:val="18"/>
          <w:szCs w:val="18"/>
        </w:rPr>
        <w:t xml:space="preserve">Disposició final </w:t>
      </w:r>
    </w:p>
    <w:p w:rsidR="00335BAE" w:rsidRDefault="00335BAE" w:rsidP="00335BAE">
      <w:pPr>
        <w:pStyle w:val="Default"/>
        <w:jc w:val="both"/>
        <w:rPr>
          <w:sz w:val="18"/>
          <w:szCs w:val="18"/>
        </w:rPr>
      </w:pPr>
    </w:p>
    <w:p w:rsidR="00335BAE" w:rsidRPr="00E65159" w:rsidRDefault="00335BAE" w:rsidP="00335BAE">
      <w:pPr>
        <w:pStyle w:val="Default"/>
        <w:jc w:val="both"/>
        <w:rPr>
          <w:sz w:val="18"/>
          <w:szCs w:val="18"/>
        </w:rPr>
      </w:pPr>
      <w:r w:rsidRPr="00CD3707">
        <w:rPr>
          <w:sz w:val="18"/>
          <w:szCs w:val="18"/>
        </w:rPr>
        <w:t xml:space="preserve">La present Ordenança fiscal, aprovada provisionalment pel Ple de la Corporació en sessió celebrada el 29 d’octubre de 2024 i que ha quedat definitivament aprovada en data 20 de desembre de 2024, entrarà en vigor al dia següent al de publicació en el </w:t>
      </w:r>
      <w:r w:rsidRPr="00CD3707">
        <w:rPr>
          <w:i/>
          <w:iCs/>
          <w:sz w:val="18"/>
          <w:szCs w:val="18"/>
        </w:rPr>
        <w:t xml:space="preserve">Butlletí Oficial de la Província de Barcelona </w:t>
      </w:r>
      <w:r w:rsidRPr="00CD3707">
        <w:rPr>
          <w:sz w:val="18"/>
          <w:szCs w:val="18"/>
        </w:rPr>
        <w:t>i regirà fins la seva modificació o derogació expressa.</w:t>
      </w:r>
      <w:r w:rsidRPr="00E65159">
        <w:rPr>
          <w:sz w:val="18"/>
          <w:szCs w:val="18"/>
        </w:rPr>
        <w:t xml:space="preserve"> </w:t>
      </w:r>
    </w:p>
    <w:p w:rsidR="00335BAE" w:rsidRDefault="00335BAE" w:rsidP="00335BAE">
      <w:pPr>
        <w:jc w:val="both"/>
        <w:rPr>
          <w:rFonts w:ascii="Arial" w:hAnsi="Arial" w:cs="Arial"/>
          <w:sz w:val="18"/>
          <w:szCs w:val="18"/>
        </w:rPr>
      </w:pPr>
    </w:p>
    <w:p w:rsidR="00335BAE" w:rsidRPr="00CA1E39" w:rsidRDefault="00335BAE" w:rsidP="00CA1E39">
      <w:pPr>
        <w:jc w:val="both"/>
        <w:rPr>
          <w:rFonts w:ascii="Arial" w:hAnsi="Arial" w:cs="Arial"/>
          <w:sz w:val="18"/>
          <w:szCs w:val="18"/>
        </w:rPr>
      </w:pPr>
      <w:r w:rsidRPr="00E65159">
        <w:rPr>
          <w:rFonts w:ascii="Arial" w:hAnsi="Arial" w:cs="Arial"/>
          <w:sz w:val="18"/>
          <w:szCs w:val="18"/>
        </w:rPr>
        <w:t xml:space="preserve">A </w:t>
      </w:r>
      <w:proofErr w:type="spellStart"/>
      <w:r w:rsidRPr="00E65159">
        <w:rPr>
          <w:rFonts w:ascii="Arial" w:hAnsi="Arial" w:cs="Arial"/>
          <w:sz w:val="18"/>
          <w:szCs w:val="18"/>
        </w:rPr>
        <w:t>Sant</w:t>
      </w:r>
      <w:proofErr w:type="spellEnd"/>
      <w:r w:rsidRPr="00E65159">
        <w:rPr>
          <w:rFonts w:ascii="Arial" w:hAnsi="Arial" w:cs="Arial"/>
          <w:sz w:val="18"/>
          <w:szCs w:val="18"/>
        </w:rPr>
        <w:t xml:space="preserve"> Llorenç Savall</w:t>
      </w:r>
      <w:bookmarkStart w:id="0" w:name="_GoBack"/>
      <w:bookmarkEnd w:id="0"/>
    </w:p>
    <w:sectPr w:rsidR="00335BAE" w:rsidRPr="00CA1E39" w:rsidSect="0000138D">
      <w:headerReference w:type="default" r:id="rId7"/>
      <w:footerReference w:type="default" r:id="rId8"/>
      <w:pgSz w:w="11906" w:h="16838"/>
      <w:pgMar w:top="1701" w:right="1701" w:bottom="1417" w:left="1701" w:header="85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625" w:rsidRDefault="00E73625">
      <w:r>
        <w:separator/>
      </w:r>
    </w:p>
  </w:endnote>
  <w:endnote w:type="continuationSeparator" w:id="0">
    <w:p w:rsidR="00E73625" w:rsidRDefault="00E7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4E" w:rsidRDefault="00435837" w:rsidP="009F50C4">
    <w:pPr>
      <w:jc w:val="center"/>
    </w:pPr>
    <w:r w:rsidRPr="00E7403D">
      <w:rPr>
        <w:noProof/>
        <w:lang w:val="ca-ES" w:eastAsia="ca-ES"/>
      </w:rPr>
      <w:drawing>
        <wp:inline distT="0" distB="0" distL="0" distR="0">
          <wp:extent cx="5610225" cy="390525"/>
          <wp:effectExtent l="0" t="0" r="9525" b="0"/>
          <wp:docPr id="5" name="Imagen 5" descr="C:\Users\G5Admin\AppData\Local\Microsoft\Windows\Temporary Internet Files\Content.Word\peu de pàgin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G5Admin\AppData\Local\Microsoft\Windows\Temporary Internet Files\Content.Word\peu de pàgin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390525"/>
                  </a:xfrm>
                  <a:prstGeom prst="rect">
                    <a:avLst/>
                  </a:prstGeom>
                  <a:noFill/>
                  <a:ln>
                    <a:noFill/>
                  </a:ln>
                </pic:spPr>
              </pic:pic>
            </a:graphicData>
          </a:graphic>
        </wp:inline>
      </w:drawing>
    </w:r>
  </w:p>
  <w:p w:rsidR="0038374E" w:rsidRDefault="00E73625" w:rsidP="00B62DA4">
    <w:pPr>
      <w:pStyle w:val="Piedepgina"/>
      <w:jc w:val="center"/>
      <w:rPr>
        <w:rFonts w:ascii="Consolas" w:hAnsi="Consolas" w:cs="Consola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625" w:rsidRDefault="00E73625">
      <w:r>
        <w:separator/>
      </w:r>
    </w:p>
  </w:footnote>
  <w:footnote w:type="continuationSeparator" w:id="0">
    <w:p w:rsidR="00E73625" w:rsidRDefault="00E73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4E" w:rsidRDefault="00435837">
    <w:r>
      <w:rPr>
        <w:noProof/>
        <w:lang w:val="ca-ES" w:eastAsia="ca-ES"/>
      </w:rPr>
      <w:drawing>
        <wp:anchor distT="0" distB="0" distL="114300" distR="114300" simplePos="0" relativeHeight="251659264" behindDoc="0" locked="0" layoutInCell="1" allowOverlap="1">
          <wp:simplePos x="0" y="0"/>
          <wp:positionH relativeFrom="column">
            <wp:posOffset>-449580</wp:posOffset>
          </wp:positionH>
          <wp:positionV relativeFrom="paragraph">
            <wp:posOffset>-431800</wp:posOffset>
          </wp:positionV>
          <wp:extent cx="626745" cy="948055"/>
          <wp:effectExtent l="0" t="0" r="1905" b="4445"/>
          <wp:wrapSquare wrapText="bothSides"/>
          <wp:docPr id="6" name="Imagen 6" descr="LOGO SANT LLORENÇ SAV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T LLORENÇ SAV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74E" w:rsidRDefault="00E73625"/>
  <w:p w:rsidR="0038374E" w:rsidRPr="007E1198" w:rsidRDefault="00435837">
    <w:pPr>
      <w:rPr>
        <w:rFonts w:ascii="Arial" w:hAnsi="Arial" w:cs="Arial"/>
      </w:rPr>
    </w:pPr>
    <w:r>
      <w:t xml:space="preserve">         </w:t>
    </w:r>
    <w:r>
      <w:rPr>
        <w:rFonts w:ascii="Arial" w:hAnsi="Arial" w:cs="Arial"/>
      </w:rPr>
      <w:t>AJUNTAMENT SANT LLORENÇ SAVALL</w:t>
    </w:r>
  </w:p>
  <w:p w:rsidR="0038374E" w:rsidRPr="006A44DB" w:rsidRDefault="00E73625" w:rsidP="006A44DB">
    <w:pPr>
      <w:rPr>
        <w:lang w:val="ca-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D0F82"/>
    <w:multiLevelType w:val="hybridMultilevel"/>
    <w:tmpl w:val="AA90CE72"/>
    <w:lvl w:ilvl="0" w:tplc="0D62CD4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F6F3B3C"/>
    <w:multiLevelType w:val="hybridMultilevel"/>
    <w:tmpl w:val="7A60220E"/>
    <w:lvl w:ilvl="0" w:tplc="DE3898A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01"/>
    <w:rsid w:val="00002EB9"/>
    <w:rsid w:val="000A01F0"/>
    <w:rsid w:val="001107A7"/>
    <w:rsid w:val="00224296"/>
    <w:rsid w:val="00242D7A"/>
    <w:rsid w:val="00335BAE"/>
    <w:rsid w:val="003D0D48"/>
    <w:rsid w:val="00435837"/>
    <w:rsid w:val="004E7F84"/>
    <w:rsid w:val="005505A1"/>
    <w:rsid w:val="00552600"/>
    <w:rsid w:val="005F58B4"/>
    <w:rsid w:val="00623630"/>
    <w:rsid w:val="00712D01"/>
    <w:rsid w:val="00730292"/>
    <w:rsid w:val="00746AF1"/>
    <w:rsid w:val="00762945"/>
    <w:rsid w:val="007B320B"/>
    <w:rsid w:val="007B65EF"/>
    <w:rsid w:val="00831314"/>
    <w:rsid w:val="008F022A"/>
    <w:rsid w:val="008F57F6"/>
    <w:rsid w:val="00911354"/>
    <w:rsid w:val="00A34765"/>
    <w:rsid w:val="00BE4524"/>
    <w:rsid w:val="00C05CA1"/>
    <w:rsid w:val="00C6159B"/>
    <w:rsid w:val="00CA1E39"/>
    <w:rsid w:val="00E31A7E"/>
    <w:rsid w:val="00E73625"/>
    <w:rsid w:val="00EF0376"/>
    <w:rsid w:val="00F1514E"/>
    <w:rsid w:val="00F30992"/>
    <w:rsid w:val="00FE12C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04A8F2-2258-4439-A8FB-699F0B19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01"/>
    <w:pPr>
      <w:spacing w:after="0" w:line="24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12D01"/>
    <w:pPr>
      <w:tabs>
        <w:tab w:val="center" w:pos="4252"/>
        <w:tab w:val="right" w:pos="8504"/>
      </w:tabs>
    </w:pPr>
  </w:style>
  <w:style w:type="character" w:customStyle="1" w:styleId="EncabezadoCar">
    <w:name w:val="Encabezado Car"/>
    <w:basedOn w:val="Fuentedeprrafopredeter"/>
    <w:link w:val="Encabezado"/>
    <w:rsid w:val="00712D01"/>
    <w:rPr>
      <w:rFonts w:ascii="Calibri" w:eastAsia="Calibri" w:hAnsi="Calibri" w:cs="Times New Roman"/>
      <w:lang w:val="es-ES"/>
    </w:rPr>
  </w:style>
  <w:style w:type="paragraph" w:styleId="Piedepgina">
    <w:name w:val="footer"/>
    <w:basedOn w:val="Normal"/>
    <w:link w:val="PiedepginaCar"/>
    <w:unhideWhenUsed/>
    <w:rsid w:val="00712D01"/>
    <w:pPr>
      <w:tabs>
        <w:tab w:val="center" w:pos="4252"/>
        <w:tab w:val="right" w:pos="8504"/>
      </w:tabs>
    </w:pPr>
  </w:style>
  <w:style w:type="character" w:customStyle="1" w:styleId="PiedepginaCar">
    <w:name w:val="Pie de página Car"/>
    <w:basedOn w:val="Fuentedeprrafopredeter"/>
    <w:link w:val="Piedepgina"/>
    <w:rsid w:val="00712D01"/>
    <w:rPr>
      <w:rFonts w:ascii="Calibri" w:eastAsia="Calibri" w:hAnsi="Calibri" w:cs="Times New Roman"/>
      <w:lang w:val="es-ES"/>
    </w:rPr>
  </w:style>
  <w:style w:type="paragraph" w:styleId="Textodeglobo">
    <w:name w:val="Balloon Text"/>
    <w:basedOn w:val="Normal"/>
    <w:link w:val="TextodegloboCar"/>
    <w:uiPriority w:val="99"/>
    <w:semiHidden/>
    <w:unhideWhenUsed/>
    <w:rsid w:val="00712D01"/>
    <w:rPr>
      <w:rFonts w:ascii="Tahoma" w:hAnsi="Tahoma" w:cs="Tahoma"/>
      <w:sz w:val="16"/>
      <w:szCs w:val="16"/>
    </w:rPr>
  </w:style>
  <w:style w:type="character" w:customStyle="1" w:styleId="TextodegloboCar">
    <w:name w:val="Texto de globo Car"/>
    <w:basedOn w:val="Fuentedeprrafopredeter"/>
    <w:link w:val="Textodeglobo"/>
    <w:uiPriority w:val="99"/>
    <w:semiHidden/>
    <w:rsid w:val="00712D01"/>
    <w:rPr>
      <w:rFonts w:ascii="Tahoma" w:eastAsia="Calibri" w:hAnsi="Tahoma" w:cs="Tahoma"/>
      <w:sz w:val="16"/>
      <w:szCs w:val="16"/>
      <w:lang w:val="es-ES"/>
    </w:rPr>
  </w:style>
  <w:style w:type="paragraph" w:customStyle="1" w:styleId="Default">
    <w:name w:val="Default"/>
    <w:rsid w:val="00712D01"/>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basedOn w:val="Tablanormal"/>
    <w:uiPriority w:val="59"/>
    <w:rsid w:val="00712D01"/>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4358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24722">
      <w:bodyDiv w:val="1"/>
      <w:marLeft w:val="0"/>
      <w:marRight w:val="0"/>
      <w:marTop w:val="0"/>
      <w:marBottom w:val="0"/>
      <w:divBdr>
        <w:top w:val="none" w:sz="0" w:space="0" w:color="auto"/>
        <w:left w:val="none" w:sz="0" w:space="0" w:color="auto"/>
        <w:bottom w:val="none" w:sz="0" w:space="0" w:color="auto"/>
        <w:right w:val="none" w:sz="0" w:space="0" w:color="auto"/>
      </w:divBdr>
    </w:div>
    <w:div w:id="13386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10018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Anaya Puertas</dc:creator>
  <cp:keywords/>
  <dc:description/>
  <cp:lastModifiedBy>Antonia Anaya Puertas</cp:lastModifiedBy>
  <cp:revision>4</cp:revision>
  <dcterms:created xsi:type="dcterms:W3CDTF">2024-12-23T14:28:00Z</dcterms:created>
  <dcterms:modified xsi:type="dcterms:W3CDTF">2024-12-23T14:30:00Z</dcterms:modified>
</cp:coreProperties>
</file>