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09B" w:rsidRPr="00716318" w:rsidRDefault="001B509B" w:rsidP="001B509B">
      <w:pPr>
        <w:pStyle w:val="Ttulo1"/>
      </w:pPr>
      <w:bookmarkStart w:id="0" w:name="_Toc491171043"/>
      <w:r w:rsidRPr="00716318">
        <w:t xml:space="preserve">Ordenança </w:t>
      </w:r>
      <w:r>
        <w:t>fiscal</w:t>
      </w:r>
      <w:r w:rsidRPr="00716318">
        <w:t xml:space="preserve"> núm. 1</w:t>
      </w:r>
      <w:r w:rsidRPr="00716318">
        <w:br/>
        <w:t>IMPOST SOBRE BÉNS IMMOBLES</w:t>
      </w:r>
      <w:bookmarkEnd w:id="0"/>
    </w:p>
    <w:p w:rsidR="001B509B" w:rsidRPr="00716318" w:rsidRDefault="001B509B" w:rsidP="001B509B">
      <w:pPr>
        <w:autoSpaceDE w:val="0"/>
        <w:autoSpaceDN w:val="0"/>
        <w:adjustRightInd w:val="0"/>
        <w:jc w:val="both"/>
        <w:rPr>
          <w:rFonts w:cs="Arial"/>
          <w:b/>
          <w:bCs/>
        </w:rPr>
      </w:pPr>
      <w:r w:rsidRPr="00716318">
        <w:rPr>
          <w:rFonts w:cs="Arial"/>
          <w:b/>
          <w:bCs/>
        </w:rPr>
        <w:t>Fonament i naturalesa</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 xml:space="preserve">Aquesta ordenança fiscal s’estableix a l’empara de les disposicions dels articles 106, 107 i 108 en relació al 4.1.a i b de la Llei 7/1985, de 2 d’abril , reguladora de les bases de règim local i els articles  6.1 i </w:t>
      </w:r>
      <w:smartTag w:uri="urn:schemas-microsoft-com:office:smarttags" w:element="metricconverter">
        <w:smartTagPr>
          <w:attr w:name="ProductID" w:val="8.1 a"/>
        </w:smartTagPr>
        <w:r w:rsidRPr="00716318">
          <w:rPr>
            <w:rFonts w:cs="Arial"/>
            <w:spacing w:val="-3"/>
          </w:rPr>
          <w:t>8.1 a</w:t>
        </w:r>
      </w:smartTag>
      <w:r w:rsidRPr="00716318">
        <w:rPr>
          <w:rFonts w:cs="Arial"/>
          <w:spacing w:val="-3"/>
        </w:rPr>
        <w:t xml:space="preserve"> de la  Llei 8/1987 de 15 d’abril, municipal i de règim local de Catalunya, </w:t>
      </w:r>
      <w:smartTag w:uri="urn:schemas-microsoft-com:office:smarttags" w:element="metricconverter">
        <w:smartTagPr>
          <w:attr w:name="ProductID" w:val="15 a"/>
        </w:smartTagPr>
        <w:r w:rsidRPr="00716318">
          <w:rPr>
            <w:rFonts w:cs="Arial"/>
            <w:spacing w:val="-3"/>
          </w:rPr>
          <w:t>15 a</w:t>
        </w:r>
      </w:smartTag>
      <w:r w:rsidRPr="00716318">
        <w:rPr>
          <w:rFonts w:cs="Arial"/>
          <w:spacing w:val="-3"/>
        </w:rPr>
        <w:t xml:space="preserve"> 19 del RD Legislatiu 2/2004 de 5 de març, pel que s’aprova el text refós de la Llei reguladora de les hisendes locals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El seu objecte és desenvolupar i fixar les especialitats de règim jurídic aplicables en aquest municipi a l’imposta sobre bens immobles, previst en els articles del 60 al 77 del RD Legislatiu 2/2004, de 5 de març, pel qual s’aprova el text refós de la Llei reguladora de les Hisendes locals.</w:t>
      </w:r>
    </w:p>
    <w:p w:rsidR="001B509B" w:rsidRPr="00716318" w:rsidRDefault="001B509B" w:rsidP="001B509B">
      <w:pPr>
        <w:pStyle w:val="Ttulo9"/>
        <w:spacing w:before="0" w:after="0" w:line="240" w:lineRule="auto"/>
        <w:jc w:val="both"/>
        <w:rPr>
          <w:rFonts w:cs="Arial"/>
          <w:b/>
          <w:lang w:val="ca-ES"/>
        </w:rPr>
      </w:pPr>
      <w:r w:rsidRPr="00716318">
        <w:rPr>
          <w:rFonts w:cs="Arial"/>
          <w:b/>
          <w:lang w:val="ca-ES"/>
        </w:rPr>
        <w:t>Article 1r. Fet imposable</w:t>
      </w:r>
    </w:p>
    <w:p w:rsidR="001B509B" w:rsidRPr="00716318" w:rsidRDefault="001B509B" w:rsidP="001B509B">
      <w:pPr>
        <w:numPr>
          <w:ilvl w:val="0"/>
          <w:numId w:val="7"/>
        </w:numPr>
        <w:suppressAutoHyphens/>
        <w:spacing w:after="0"/>
        <w:ind w:left="284" w:hanging="284"/>
        <w:jc w:val="both"/>
        <w:rPr>
          <w:rFonts w:cs="Arial"/>
          <w:spacing w:val="-3"/>
        </w:rPr>
      </w:pPr>
      <w:r w:rsidRPr="00716318">
        <w:rPr>
          <w:rFonts w:cs="Arial"/>
          <w:spacing w:val="-3"/>
        </w:rPr>
        <w:t>El fet imposable de l’impost sobre Béns Immobles està constituït per la titularitat dels següents drets sobre els béns immobles rústics i urbans i sobre els immobles de característiques especials: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589" w:hanging="589"/>
        <w:jc w:val="both"/>
        <w:rPr>
          <w:rFonts w:cs="Arial"/>
          <w:spacing w:val="-3"/>
        </w:rPr>
      </w:pPr>
      <w:r w:rsidRPr="00716318">
        <w:rPr>
          <w:rFonts w:cs="Arial"/>
          <w:spacing w:val="-3"/>
        </w:rPr>
        <w:tab/>
      </w:r>
      <w:r w:rsidRPr="00716318">
        <w:rPr>
          <w:rFonts w:cs="Arial"/>
          <w:spacing w:val="-3"/>
        </w:rPr>
        <w:tab/>
        <w:t>a)</w:t>
      </w:r>
      <w:r w:rsidRPr="00716318">
        <w:rPr>
          <w:rFonts w:cs="Arial"/>
          <w:spacing w:val="-3"/>
        </w:rPr>
        <w:tab/>
        <w:t>d’una concessió administrativa sobre els propis immobles o sobre els serveis públics a que es trobin afectes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589" w:hanging="589"/>
        <w:jc w:val="both"/>
        <w:rPr>
          <w:rFonts w:cs="Arial"/>
          <w:spacing w:val="-3"/>
        </w:rPr>
      </w:pPr>
      <w:r w:rsidRPr="00716318">
        <w:rPr>
          <w:rFonts w:cs="Arial"/>
          <w:spacing w:val="-3"/>
        </w:rPr>
        <w:tab/>
      </w:r>
      <w:r w:rsidRPr="00716318">
        <w:rPr>
          <w:rFonts w:cs="Arial"/>
          <w:spacing w:val="-3"/>
        </w:rPr>
        <w:tab/>
        <w:t>b)  d’un dret real de superfície</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148" w:hanging="148"/>
        <w:jc w:val="both"/>
        <w:rPr>
          <w:rFonts w:cs="Arial"/>
          <w:spacing w:val="-3"/>
        </w:rPr>
      </w:pPr>
      <w:r w:rsidRPr="00716318">
        <w:rPr>
          <w:rFonts w:cs="Arial"/>
          <w:spacing w:val="-3"/>
        </w:rPr>
        <w:t xml:space="preserve"> </w:t>
      </w:r>
      <w:r w:rsidRPr="00716318">
        <w:rPr>
          <w:rFonts w:cs="Arial"/>
          <w:spacing w:val="-3"/>
        </w:rPr>
        <w:tab/>
      </w:r>
      <w:r w:rsidRPr="00716318">
        <w:rPr>
          <w:rFonts w:cs="Arial"/>
          <w:spacing w:val="-3"/>
        </w:rPr>
        <w:tab/>
      </w:r>
      <w:r w:rsidRPr="00716318">
        <w:rPr>
          <w:rFonts w:cs="Arial"/>
          <w:spacing w:val="-3"/>
        </w:rPr>
        <w:tab/>
        <w:t>c)  d’un dret real d’usdefruit</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148" w:hanging="148"/>
        <w:jc w:val="both"/>
        <w:rPr>
          <w:rFonts w:cs="Arial"/>
          <w:spacing w:val="-3"/>
        </w:rPr>
      </w:pPr>
      <w:r w:rsidRPr="00716318">
        <w:rPr>
          <w:rFonts w:cs="Arial"/>
          <w:spacing w:val="-3"/>
        </w:rPr>
        <w:t xml:space="preserve"> </w:t>
      </w:r>
      <w:r w:rsidRPr="00716318">
        <w:rPr>
          <w:rFonts w:cs="Arial"/>
          <w:spacing w:val="-3"/>
        </w:rPr>
        <w:tab/>
      </w:r>
      <w:r w:rsidRPr="00716318">
        <w:rPr>
          <w:rFonts w:cs="Arial"/>
          <w:spacing w:val="-3"/>
        </w:rPr>
        <w:tab/>
      </w:r>
      <w:r w:rsidRPr="00716318">
        <w:rPr>
          <w:rFonts w:cs="Arial"/>
          <w:spacing w:val="-3"/>
        </w:rPr>
        <w:tab/>
        <w:t>d)  del dret de propietat</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589" w:hanging="589"/>
        <w:jc w:val="both"/>
        <w:rPr>
          <w:rFonts w:cs="Arial"/>
          <w:spacing w:val="-3"/>
        </w:rPr>
      </w:pPr>
      <w:r w:rsidRPr="00716318">
        <w:rPr>
          <w:rFonts w:cs="Arial"/>
          <w:spacing w:val="-3"/>
        </w:rPr>
        <w:t xml:space="preserve"> 2.</w:t>
      </w:r>
      <w:r w:rsidRPr="00716318">
        <w:rPr>
          <w:rFonts w:cs="Arial"/>
          <w:spacing w:val="-3"/>
        </w:rPr>
        <w:tab/>
        <w:t>La realització d’un fet imposable dels apartats anteriors pel seu ordre determinarà la no subjecció de l’immoble a les restants.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295" w:hanging="295"/>
        <w:jc w:val="both"/>
        <w:rPr>
          <w:rFonts w:cs="Arial"/>
          <w:spacing w:val="-3"/>
        </w:rPr>
      </w:pPr>
      <w:r w:rsidRPr="00716318">
        <w:rPr>
          <w:rFonts w:cs="Arial"/>
          <w:spacing w:val="-3"/>
        </w:rPr>
        <w:t xml:space="preserve"> 3.</w:t>
      </w:r>
      <w:r w:rsidRPr="00716318">
        <w:rPr>
          <w:rFonts w:cs="Arial"/>
          <w:spacing w:val="-3"/>
        </w:rPr>
        <w:tab/>
        <w:t>La consideració de béns immobles rústics, de béns immobles urbans i de béns immobles de característiques especials està definida a l’article 7 del RD Legislatiu 1/2004 de 5 de març, pel que s’aprova el Text refós  de la Llei del cadastre immobiliari.</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bCs/>
          <w:spacing w:val="-3"/>
        </w:rPr>
      </w:pPr>
      <w:r w:rsidRPr="00716318">
        <w:rPr>
          <w:rFonts w:cs="Arial"/>
          <w:b/>
          <w:bCs/>
          <w:spacing w:val="-3"/>
        </w:rPr>
        <w:t>Article 2n. No subjecció</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No estaran subjectes a aquest impost els béns immobles detallats a l’apartat 5, de l’article 62 de la Llei 39/88 en la redacció modificada per la Llei 51/2002.i pel RDL 2/2004 pel que s’aprova el text refós de la Llei reguladora de les Hisendes Locals  en el seu art 61.5.</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3r. Subjectes passius</w:t>
      </w:r>
    </w:p>
    <w:p w:rsidR="001B509B" w:rsidRPr="00716318" w:rsidRDefault="001B509B" w:rsidP="001B509B">
      <w:pPr>
        <w:numPr>
          <w:ilvl w:val="0"/>
          <w:numId w:val="3"/>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after="0"/>
        <w:ind w:left="480" w:hanging="330"/>
        <w:jc w:val="both"/>
        <w:rPr>
          <w:rFonts w:cs="Arial"/>
          <w:spacing w:val="-3"/>
        </w:rPr>
      </w:pPr>
      <w:r w:rsidRPr="00716318">
        <w:rPr>
          <w:rFonts w:cs="Arial"/>
          <w:spacing w:val="-3"/>
        </w:rPr>
        <w:t>Són subjectes passius, a títol de contribuent, les persones naturals i jurídiques i les entitats a que es refereix l’article 33 de la Llei 230/63, de 28 de desembre, General Tributaria, que ostentin la titularitat del dret, que en cada cas sigui constitutiu del fet imposable d’aquest impost.</w:t>
      </w:r>
    </w:p>
    <w:p w:rsidR="001B509B" w:rsidRPr="00716318" w:rsidRDefault="001B509B" w:rsidP="001B509B">
      <w:pPr>
        <w:numPr>
          <w:ilvl w:val="0"/>
          <w:numId w:val="3"/>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after="0"/>
        <w:jc w:val="both"/>
        <w:rPr>
          <w:rFonts w:cs="Arial"/>
          <w:spacing w:val="-3"/>
        </w:rPr>
      </w:pPr>
      <w:r w:rsidRPr="00716318">
        <w:rPr>
          <w:rFonts w:cs="Arial"/>
          <w:spacing w:val="-3"/>
        </w:rPr>
        <w:t xml:space="preserve"> Són responsables els subjectes que determinen els articles </w:t>
      </w:r>
      <w:smartTag w:uri="urn:schemas-microsoft-com:office:smarttags" w:element="metricconverter">
        <w:smartTagPr>
          <w:attr w:name="ProductID" w:val="41 a"/>
        </w:smartTagPr>
        <w:r w:rsidRPr="00716318">
          <w:rPr>
            <w:rFonts w:cs="Arial"/>
            <w:spacing w:val="-3"/>
          </w:rPr>
          <w:t>41 a</w:t>
        </w:r>
      </w:smartTag>
      <w:r w:rsidRPr="00716318">
        <w:rPr>
          <w:rFonts w:cs="Arial"/>
          <w:spacing w:val="-3"/>
        </w:rPr>
        <w:t xml:space="preserve"> 43 de la Llei General tributària.</w:t>
      </w:r>
    </w:p>
    <w:p w:rsidR="001B509B" w:rsidRPr="00716318" w:rsidRDefault="001B509B" w:rsidP="001B509B">
      <w:pPr>
        <w:numPr>
          <w:ilvl w:val="0"/>
          <w:numId w:val="3"/>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after="0"/>
        <w:jc w:val="both"/>
        <w:rPr>
          <w:rFonts w:cs="Arial"/>
          <w:spacing w:val="-3"/>
        </w:rPr>
      </w:pPr>
      <w:r w:rsidRPr="00716318">
        <w:rPr>
          <w:caps/>
        </w:rPr>
        <w:lastRenderedPageBreak/>
        <w:t xml:space="preserve"> </w:t>
      </w:r>
      <w:r w:rsidRPr="00716318">
        <w:rPr>
          <w:rFonts w:cs="Arial"/>
          <w:spacing w:val="-3"/>
        </w:rPr>
        <w:t>En els supòsits de canvi, per qualsevol causa, en la titularitat dels drets que constitueixen el fet imposable  de l’impost, els bens immobles d’aquests drets quedaran afectes al pagament de la totalitat de la quota  tributària en els termes previstos en l’article 64 del text refós de la llei reguladora de les hisendes locals, aprovat per rd legislatiu 2/2004 de 5 de març (</w:t>
      </w:r>
      <w:proofErr w:type="spellStart"/>
      <w:r w:rsidRPr="00716318">
        <w:rPr>
          <w:rFonts w:cs="Arial"/>
          <w:spacing w:val="-3"/>
        </w:rPr>
        <w:t>trhl</w:t>
      </w:r>
      <w:proofErr w:type="spellEnd"/>
      <w:r w:rsidRPr="00716318">
        <w:rPr>
          <w:rFonts w:cs="Arial"/>
          <w:spacing w:val="-3"/>
        </w:rPr>
        <w:t xml:space="preserve">). Les quotes exigibles  a l’adquirent són les corresponents als exercicis  no prescrits. S’entendrà que no han  prescrit per al nou titular, com a successor de l’anterior subjecte passiu, els deutes de l’ </w:t>
      </w:r>
      <w:proofErr w:type="spellStart"/>
      <w:r w:rsidRPr="00716318">
        <w:rPr>
          <w:rFonts w:cs="Arial"/>
          <w:spacing w:val="-3"/>
        </w:rPr>
        <w:t>ibi</w:t>
      </w:r>
      <w:proofErr w:type="spellEnd"/>
      <w:r w:rsidRPr="00716318">
        <w:rPr>
          <w:rFonts w:cs="Arial"/>
          <w:spacing w:val="-3"/>
        </w:rPr>
        <w:t xml:space="preserve"> de l’últim any.</w:t>
      </w:r>
    </w:p>
    <w:p w:rsidR="001B509B" w:rsidRPr="00716318" w:rsidRDefault="001B509B" w:rsidP="001B509B">
      <w:pPr>
        <w:numPr>
          <w:ilvl w:val="0"/>
          <w:numId w:val="3"/>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after="0"/>
        <w:jc w:val="both"/>
        <w:rPr>
          <w:rFonts w:cs="Arial"/>
          <w:spacing w:val="-3"/>
        </w:rPr>
      </w:pPr>
      <w:r w:rsidRPr="00716318">
        <w:rPr>
          <w:rFonts w:cs="Arial"/>
          <w:spacing w:val="-3"/>
        </w:rPr>
        <w:t>A l’efecte del previst a l’apartat anterior els notaris sol·licitaran informació i advertiran als compareixents sobre deutes pendents per l’impost sobre Bens immobles associats a l’immoble que es transmet, així com de responsabilitat per manca de presentació de declaracions.</w:t>
      </w:r>
    </w:p>
    <w:p w:rsidR="001B509B" w:rsidRPr="00716318" w:rsidRDefault="001B509B" w:rsidP="001B509B">
      <w:pPr>
        <w:numPr>
          <w:ilvl w:val="0"/>
          <w:numId w:val="3"/>
        </w:numPr>
        <w:spacing w:after="0"/>
        <w:jc w:val="both"/>
        <w:rPr>
          <w:rFonts w:cs="Arial"/>
        </w:rPr>
      </w:pPr>
      <w:r w:rsidRPr="00716318">
        <w:rPr>
          <w:rFonts w:cs="Arial"/>
        </w:rPr>
        <w:t>Els supòsits de concurrència de diversos obligats tributaris en un mateix fet determinarà que quedin solidàriament obligats davant l’administració Tributària al compliment de totes les prestacions, a l’empara del que preveu l’article 35.6 de la Llei general Tributària. L’òrgan gestor podrà exigir el compliment de l’obligació a qualsevol dels implicats.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4t. Exempcions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a) Estaran exempts els béns immobles detallats a l’article 62 del RD Legislatiu 2/2004, de 5 de març,  pel que s’aprova el text refós  de la llei reguladora de les hisendes locals, sempre que reuneixin les condicions que s’hi especifiquen o que estableixin a les seves disposicions complementàries.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b) Estaran exempts, prèvia sol·licitud, els béns immobles detallats a l’article 62.2 de del RD legislatiu 2/2004.</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c) Estaran exempts, prèvia sol·licitud, els béns de que siguin titulars els centres sanitaris de titularitat pública directament afectats al compliment dels seus fins específics.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left="589" w:hanging="589"/>
        <w:jc w:val="both"/>
        <w:rPr>
          <w:rFonts w:cs="Arial"/>
          <w:spacing w:val="-3"/>
        </w:rPr>
      </w:pPr>
      <w:r w:rsidRPr="00716318">
        <w:rPr>
          <w:rFonts w:cs="Arial"/>
          <w:spacing w:val="-3"/>
        </w:rPr>
        <w:t>d) Estaran exempts els béns de naturalesa urbana i quota líquida inferior a 5,00 Euros.</w:t>
      </w:r>
    </w:p>
    <w:p w:rsidR="001B509B" w:rsidRPr="00716318" w:rsidRDefault="001B509B" w:rsidP="001B509B">
      <w:pPr>
        <w:numPr>
          <w:ilvl w:val="0"/>
          <w:numId w:val="3"/>
        </w:numPr>
        <w:tabs>
          <w:tab w:val="clear" w:pos="510"/>
          <w:tab w:val="left" w:pos="-1440"/>
          <w:tab w:val="left" w:pos="-720"/>
          <w:tab w:val="left" w:pos="0"/>
          <w:tab w:val="num" w:pos="284"/>
        </w:tabs>
        <w:suppressAutoHyphens/>
        <w:spacing w:after="0"/>
        <w:ind w:left="0" w:firstLine="0"/>
        <w:jc w:val="both"/>
        <w:rPr>
          <w:rFonts w:cs="Arial"/>
          <w:spacing w:val="-3"/>
        </w:rPr>
      </w:pPr>
      <w:r w:rsidRPr="00716318">
        <w:rPr>
          <w:rFonts w:cs="Arial"/>
          <w:spacing w:val="-3"/>
        </w:rPr>
        <w:t>Estaran exempts els béns de naturalesa rústica, en el cas que per a cada subjecte passiu la seva quota líquida corresponent a la totalitat de béns rústics posseïts en el municipi sigui inferior a 10,00 Euros.</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5è. Base imposable</w:t>
      </w:r>
    </w:p>
    <w:p w:rsidR="001B509B" w:rsidRPr="00716318" w:rsidRDefault="001B509B" w:rsidP="001B509B">
      <w:pPr>
        <w:numPr>
          <w:ilvl w:val="0"/>
          <w:numId w:val="4"/>
        </w:numPr>
        <w:tabs>
          <w:tab w:val="left" w:pos="-1440"/>
          <w:tab w:val="left" w:pos="-720"/>
          <w:tab w:val="left" w:pos="0"/>
          <w:tab w:val="left" w:pos="142"/>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 base imposable del impost estarà constituïda per el valor cadastral dels béns immobles.</w:t>
      </w:r>
    </w:p>
    <w:p w:rsidR="001B509B" w:rsidRPr="00716318" w:rsidRDefault="001B509B" w:rsidP="001B509B">
      <w:pPr>
        <w:numPr>
          <w:ilvl w:val="0"/>
          <w:numId w:val="4"/>
        </w:numPr>
        <w:tabs>
          <w:tab w:val="left" w:pos="-1440"/>
          <w:tab w:val="left" w:pos="-720"/>
          <w:tab w:val="left" w:pos="0"/>
          <w:tab w:val="left" w:pos="142"/>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El valor cadastral  dels bens de naturalesa rústica i urbana es fixarà seguint criteris i procediments establerts  a la Llei del cadastre immobiliari. Aquest valor podrà ser objecte  de revisió, modificació o actualització en els supòsits previstos a l’esmentada Llei.</w:t>
      </w:r>
    </w:p>
    <w:p w:rsidR="001B509B" w:rsidRPr="00716318" w:rsidRDefault="001B509B" w:rsidP="001B509B">
      <w:pPr>
        <w:numPr>
          <w:ilvl w:val="0"/>
          <w:numId w:val="4"/>
        </w:numPr>
        <w:tabs>
          <w:tab w:val="left" w:pos="-1440"/>
          <w:tab w:val="left" w:pos="-720"/>
          <w:tab w:val="left" w:pos="0"/>
          <w:tab w:val="left" w:pos="147"/>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 determinació de la base imposable és competència de la Direcció general del Cadastre i es pot recorre davant el tribunal economicoadministratiu competent. La interposició de recurs no suspèn l’execució de l’acte, llevat que excepcionalment sigui acordada per tribunal competent sempre a sol·licitud de  l’interessat i justificats els efectes de difícil reparació de l’acte.</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6è. Base liquidable</w:t>
      </w:r>
    </w:p>
    <w:p w:rsidR="001B509B" w:rsidRPr="00716318" w:rsidRDefault="001B509B" w:rsidP="001B509B">
      <w:pPr>
        <w:numPr>
          <w:ilvl w:val="0"/>
          <w:numId w:val="5"/>
        </w:numPr>
        <w:suppressAutoHyphens/>
        <w:spacing w:after="0"/>
        <w:ind w:left="284" w:hanging="284"/>
        <w:jc w:val="both"/>
        <w:rPr>
          <w:rFonts w:cs="Arial"/>
          <w:spacing w:val="-3"/>
        </w:rPr>
      </w:pPr>
      <w:r w:rsidRPr="00716318">
        <w:rPr>
          <w:rFonts w:cs="Arial"/>
          <w:spacing w:val="-3"/>
        </w:rPr>
        <w:lastRenderedPageBreak/>
        <w:t>Els valors cadastrals podran ser objecte de revisió, modificació o actualització en els casos  i de la manera previstos en el Text refós de la Llei reguladora de les Hisendes Locals  i en text refós de la Llei del Cadastre immobiliari.</w:t>
      </w:r>
    </w:p>
    <w:p w:rsidR="001B509B" w:rsidRPr="00716318" w:rsidRDefault="001B509B" w:rsidP="001B509B">
      <w:pPr>
        <w:numPr>
          <w:ilvl w:val="0"/>
          <w:numId w:val="5"/>
        </w:numPr>
        <w:tabs>
          <w:tab w:val="left" w:pos="-1440"/>
          <w:tab w:val="left" w:pos="-720"/>
          <w:tab w:val="left" w:pos="0"/>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 base liquidable serà el resultat de practicar en la base imposable les reduccions que legalment s’estableixen.</w:t>
      </w:r>
    </w:p>
    <w:p w:rsidR="001B509B" w:rsidRPr="00716318" w:rsidRDefault="001B509B" w:rsidP="001B509B">
      <w:pPr>
        <w:numPr>
          <w:ilvl w:val="0"/>
          <w:numId w:val="5"/>
        </w:numPr>
        <w:tabs>
          <w:tab w:val="left" w:pos="-1440"/>
          <w:tab w:val="left" w:pos="-720"/>
          <w:tab w:val="left" w:pos="0"/>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 determinació de la base liquidable, en els procediments  de valoració col·lectiva , és competència  de la Direcció general del cadastre i es podrà recórrer  davant el tribunal  economicoadministratiu regional de  Catalunya.</w:t>
      </w:r>
    </w:p>
    <w:p w:rsidR="001B509B" w:rsidRPr="00716318" w:rsidRDefault="001B509B" w:rsidP="001B509B">
      <w:pPr>
        <w:numPr>
          <w:ilvl w:val="0"/>
          <w:numId w:val="5"/>
        </w:numPr>
        <w:tabs>
          <w:tab w:val="left" w:pos="-1440"/>
          <w:tab w:val="left" w:pos="-720"/>
          <w:tab w:val="left" w:pos="0"/>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L’ajuntament determinarà  la base liquidable quan la base imposable resulti de la tramitació dels procediments de declaració, comunicació, sol·licitud, esmena de discrepàncies  o inspecció cadastral. En aquests casos , la base liquidable es podrà notificar conjuntament amb la liquidació tributària corresponent.</w:t>
      </w:r>
    </w:p>
    <w:p w:rsidR="001B509B" w:rsidRDefault="001B509B" w:rsidP="001B509B">
      <w:pPr>
        <w:numPr>
          <w:ilvl w:val="0"/>
          <w:numId w:val="5"/>
        </w:numPr>
        <w:tabs>
          <w:tab w:val="left" w:pos="-1440"/>
          <w:tab w:val="left" w:pos="-720"/>
          <w:tab w:val="left" w:pos="0"/>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S’aplicarà la  reducció de la base imposable d’acord amb l’article 67 del Real  Decret Legislatiu 2/2004 de 5 de març.</w:t>
      </w:r>
    </w:p>
    <w:p w:rsidR="001B509B" w:rsidRPr="00716318" w:rsidRDefault="001B509B" w:rsidP="001B509B">
      <w:pPr>
        <w:tabs>
          <w:tab w:val="left" w:pos="-1440"/>
          <w:tab w:val="left" w:pos="-720"/>
          <w:tab w:val="left" w:pos="0"/>
          <w:tab w:val="left" w:pos="284"/>
          <w:tab w:val="left" w:pos="441"/>
          <w:tab w:val="left" w:pos="884"/>
          <w:tab w:val="left" w:pos="1032"/>
          <w:tab w:val="left" w:pos="1178"/>
          <w:tab w:val="left" w:pos="1326"/>
          <w:tab w:val="left" w:pos="1440"/>
          <w:tab w:val="left" w:pos="1473"/>
          <w:tab w:val="left" w:pos="1621"/>
          <w:tab w:val="left" w:pos="2160"/>
        </w:tabs>
        <w:suppressAutoHyphens/>
        <w:spacing w:after="0"/>
        <w:ind w:left="284"/>
        <w:jc w:val="both"/>
        <w:rPr>
          <w:rFonts w:cs="Arial"/>
          <w:spacing w:val="-3"/>
        </w:rPr>
      </w:pPr>
    </w:p>
    <w:p w:rsidR="001B509B" w:rsidRPr="00F87A0B"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 xml:space="preserve">Article 7è. Tipus de gravamen i quota </w:t>
      </w:r>
    </w:p>
    <w:p w:rsidR="001B509B" w:rsidRPr="00F87A0B" w:rsidRDefault="001B509B" w:rsidP="001B509B">
      <w:pPr>
        <w:pStyle w:val="NormalWeb"/>
        <w:spacing w:before="0" w:beforeAutospacing="0" w:after="0" w:afterAutospacing="0" w:line="240" w:lineRule="auto"/>
        <w:rPr>
          <w:rFonts w:ascii="Arial" w:hAnsi="Arial" w:cs="Arial"/>
          <w:sz w:val="22"/>
          <w:szCs w:val="22"/>
          <w:lang w:val="es-ES_tradnl"/>
        </w:rPr>
      </w:pPr>
      <w:r w:rsidRPr="00F87A0B">
        <w:rPr>
          <w:rFonts w:ascii="Arial" w:hAnsi="Arial" w:cs="Arial"/>
          <w:sz w:val="22"/>
          <w:szCs w:val="22"/>
          <w:lang w:val="es-ES_tradnl"/>
        </w:rPr>
        <w:t xml:space="preserve">1. El </w:t>
      </w:r>
      <w:proofErr w:type="spellStart"/>
      <w:r w:rsidRPr="00F87A0B">
        <w:rPr>
          <w:rFonts w:ascii="Arial" w:hAnsi="Arial" w:cs="Arial"/>
          <w:sz w:val="22"/>
          <w:szCs w:val="22"/>
          <w:lang w:val="es-ES_tradnl"/>
        </w:rPr>
        <w:t>tipus</w:t>
      </w:r>
      <w:proofErr w:type="spellEnd"/>
      <w:r w:rsidRPr="00F87A0B">
        <w:rPr>
          <w:rFonts w:ascii="Arial" w:hAnsi="Arial" w:cs="Arial"/>
          <w:sz w:val="22"/>
          <w:szCs w:val="22"/>
          <w:lang w:val="es-ES_tradnl"/>
        </w:rPr>
        <w:t xml:space="preserve"> de gravamen general aplicables a </w:t>
      </w:r>
      <w:proofErr w:type="spellStart"/>
      <w:r w:rsidRPr="00F87A0B">
        <w:rPr>
          <w:rFonts w:ascii="Arial" w:hAnsi="Arial" w:cs="Arial"/>
          <w:sz w:val="22"/>
          <w:szCs w:val="22"/>
          <w:lang w:val="es-ES_tradnl"/>
        </w:rPr>
        <w:t>aquest</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Municipi</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seran</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els</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següents</w:t>
      </w:r>
      <w:proofErr w:type="spellEnd"/>
      <w:r w:rsidRPr="00F87A0B">
        <w:rPr>
          <w:rFonts w:ascii="Arial" w:hAnsi="Arial" w:cs="Arial"/>
          <w:sz w:val="22"/>
          <w:szCs w:val="22"/>
          <w:lang w:val="es-ES_tradnl"/>
        </w:rPr>
        <w:t xml:space="preserve">: </w:t>
      </w:r>
    </w:p>
    <w:p w:rsidR="001B509B" w:rsidRPr="00F87A0B" w:rsidRDefault="001B509B" w:rsidP="001B509B">
      <w:pPr>
        <w:pStyle w:val="NormalWeb"/>
        <w:spacing w:before="0" w:beforeAutospacing="0" w:after="0" w:afterAutospacing="0" w:line="240" w:lineRule="auto"/>
        <w:rPr>
          <w:rFonts w:ascii="Arial" w:hAnsi="Arial" w:cs="Arial"/>
          <w:sz w:val="22"/>
          <w:szCs w:val="22"/>
          <w:lang w:val="es-ES_tradnl"/>
        </w:rPr>
      </w:pPr>
    </w:p>
    <w:p w:rsidR="001B509B" w:rsidRPr="00F87A0B" w:rsidRDefault="001B509B" w:rsidP="001B509B">
      <w:pPr>
        <w:pStyle w:val="NormalWeb"/>
        <w:numPr>
          <w:ilvl w:val="0"/>
          <w:numId w:val="8"/>
        </w:numPr>
        <w:spacing w:before="0" w:beforeAutospacing="0" w:after="0" w:afterAutospacing="0" w:line="240" w:lineRule="auto"/>
        <w:rPr>
          <w:rFonts w:ascii="Arial" w:hAnsi="Arial" w:cs="Arial"/>
          <w:sz w:val="22"/>
          <w:szCs w:val="22"/>
          <w:lang w:val="es-ES_tradnl"/>
        </w:rPr>
      </w:pPr>
      <w:proofErr w:type="spellStart"/>
      <w:r w:rsidRPr="00F87A0B">
        <w:rPr>
          <w:rFonts w:ascii="Arial" w:hAnsi="Arial" w:cs="Arial"/>
          <w:sz w:val="22"/>
          <w:szCs w:val="22"/>
          <w:lang w:val="es-ES_tradnl"/>
        </w:rPr>
        <w:t>Quan</w:t>
      </w:r>
      <w:proofErr w:type="spellEnd"/>
      <w:r w:rsidRPr="00F87A0B">
        <w:rPr>
          <w:rFonts w:ascii="Arial" w:hAnsi="Arial" w:cs="Arial"/>
          <w:sz w:val="22"/>
          <w:szCs w:val="22"/>
          <w:lang w:val="es-ES_tradnl"/>
        </w:rPr>
        <w:t xml:space="preserve"> es </w:t>
      </w:r>
      <w:proofErr w:type="spellStart"/>
      <w:r w:rsidRPr="00F87A0B">
        <w:rPr>
          <w:rFonts w:ascii="Arial" w:hAnsi="Arial" w:cs="Arial"/>
          <w:sz w:val="22"/>
          <w:szCs w:val="22"/>
          <w:lang w:val="es-ES_tradnl"/>
        </w:rPr>
        <w:t>tracti</w:t>
      </w:r>
      <w:proofErr w:type="spellEnd"/>
      <w:r w:rsidRPr="00F87A0B">
        <w:rPr>
          <w:rFonts w:ascii="Arial" w:hAnsi="Arial" w:cs="Arial"/>
          <w:sz w:val="22"/>
          <w:szCs w:val="22"/>
          <w:lang w:val="es-ES_tradnl"/>
        </w:rPr>
        <w:t xml:space="preserve"> de </w:t>
      </w:r>
      <w:proofErr w:type="spellStart"/>
      <w:r w:rsidRPr="00F87A0B">
        <w:rPr>
          <w:rFonts w:ascii="Arial" w:hAnsi="Arial" w:cs="Arial"/>
          <w:sz w:val="22"/>
          <w:szCs w:val="22"/>
          <w:lang w:val="es-ES_tradnl"/>
        </w:rPr>
        <w:t>béns</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immobles</w:t>
      </w:r>
      <w:proofErr w:type="spellEnd"/>
      <w:r w:rsidRPr="00F87A0B">
        <w:rPr>
          <w:rFonts w:ascii="Arial" w:hAnsi="Arial" w:cs="Arial"/>
          <w:sz w:val="22"/>
          <w:szCs w:val="22"/>
          <w:lang w:val="es-ES_tradnl"/>
        </w:rPr>
        <w:t xml:space="preserve"> de </w:t>
      </w:r>
      <w:proofErr w:type="spellStart"/>
      <w:r w:rsidRPr="00F87A0B">
        <w:rPr>
          <w:rFonts w:ascii="Arial" w:hAnsi="Arial" w:cs="Arial"/>
          <w:sz w:val="22"/>
          <w:szCs w:val="22"/>
          <w:lang w:val="es-ES_tradnl"/>
        </w:rPr>
        <w:t>naturalesa</w:t>
      </w:r>
      <w:proofErr w:type="spellEnd"/>
      <w:r>
        <w:rPr>
          <w:rFonts w:ascii="Arial" w:hAnsi="Arial" w:cs="Arial"/>
          <w:sz w:val="22"/>
          <w:szCs w:val="22"/>
          <w:lang w:val="es-ES_tradnl"/>
        </w:rPr>
        <w:t xml:space="preserve"> rústica el 0,73% </w:t>
      </w:r>
    </w:p>
    <w:p w:rsidR="001B509B" w:rsidRPr="001B509B" w:rsidRDefault="001B509B" w:rsidP="001B509B">
      <w:pPr>
        <w:pStyle w:val="NormalWeb"/>
        <w:numPr>
          <w:ilvl w:val="0"/>
          <w:numId w:val="8"/>
        </w:numPr>
        <w:spacing w:before="0" w:beforeAutospacing="0" w:after="0" w:afterAutospacing="0" w:line="240" w:lineRule="auto"/>
        <w:rPr>
          <w:rFonts w:ascii="Arial" w:hAnsi="Arial" w:cs="Arial"/>
          <w:color w:val="FF0000"/>
          <w:sz w:val="22"/>
          <w:szCs w:val="22"/>
          <w:lang w:val="es-ES_tradnl"/>
        </w:rPr>
      </w:pPr>
      <w:proofErr w:type="spellStart"/>
      <w:r w:rsidRPr="001B509B">
        <w:rPr>
          <w:rFonts w:ascii="Arial" w:hAnsi="Arial" w:cs="Arial"/>
          <w:color w:val="FF0000"/>
          <w:sz w:val="22"/>
          <w:szCs w:val="22"/>
          <w:lang w:val="es-ES_tradnl"/>
        </w:rPr>
        <w:t>Quan</w:t>
      </w:r>
      <w:proofErr w:type="spellEnd"/>
      <w:r w:rsidRPr="001B509B">
        <w:rPr>
          <w:rFonts w:ascii="Arial" w:hAnsi="Arial" w:cs="Arial"/>
          <w:color w:val="FF0000"/>
          <w:sz w:val="22"/>
          <w:szCs w:val="22"/>
          <w:lang w:val="es-ES_tradnl"/>
        </w:rPr>
        <w:t xml:space="preserve"> es </w:t>
      </w:r>
      <w:proofErr w:type="spellStart"/>
      <w:r w:rsidRPr="001B509B">
        <w:rPr>
          <w:rFonts w:ascii="Arial" w:hAnsi="Arial" w:cs="Arial"/>
          <w:color w:val="FF0000"/>
          <w:sz w:val="22"/>
          <w:szCs w:val="22"/>
          <w:lang w:val="es-ES_tradnl"/>
        </w:rPr>
        <w:t>tracti</w:t>
      </w:r>
      <w:proofErr w:type="spellEnd"/>
      <w:r w:rsidRPr="001B509B">
        <w:rPr>
          <w:rFonts w:ascii="Arial" w:hAnsi="Arial" w:cs="Arial"/>
          <w:color w:val="FF0000"/>
          <w:sz w:val="22"/>
          <w:szCs w:val="22"/>
          <w:lang w:val="es-ES_tradnl"/>
        </w:rPr>
        <w:t xml:space="preserve"> de </w:t>
      </w:r>
      <w:proofErr w:type="spellStart"/>
      <w:r w:rsidRPr="001B509B">
        <w:rPr>
          <w:rFonts w:ascii="Arial" w:hAnsi="Arial" w:cs="Arial"/>
          <w:color w:val="FF0000"/>
          <w:sz w:val="22"/>
          <w:szCs w:val="22"/>
          <w:lang w:val="es-ES_tradnl"/>
        </w:rPr>
        <w:t>béns</w:t>
      </w:r>
      <w:proofErr w:type="spellEnd"/>
      <w:r w:rsidRPr="001B509B">
        <w:rPr>
          <w:rFonts w:ascii="Arial" w:hAnsi="Arial" w:cs="Arial"/>
          <w:color w:val="FF0000"/>
          <w:sz w:val="22"/>
          <w:szCs w:val="22"/>
          <w:lang w:val="es-ES_tradnl"/>
        </w:rPr>
        <w:t xml:space="preserve"> </w:t>
      </w:r>
      <w:proofErr w:type="spellStart"/>
      <w:r w:rsidRPr="001B509B">
        <w:rPr>
          <w:rFonts w:ascii="Arial" w:hAnsi="Arial" w:cs="Arial"/>
          <w:color w:val="FF0000"/>
          <w:sz w:val="22"/>
          <w:szCs w:val="22"/>
          <w:lang w:val="es-ES_tradnl"/>
        </w:rPr>
        <w:t>immobles</w:t>
      </w:r>
      <w:proofErr w:type="spellEnd"/>
      <w:r w:rsidRPr="001B509B">
        <w:rPr>
          <w:rFonts w:ascii="Arial" w:hAnsi="Arial" w:cs="Arial"/>
          <w:color w:val="FF0000"/>
          <w:sz w:val="22"/>
          <w:szCs w:val="22"/>
          <w:lang w:val="es-ES_tradnl"/>
        </w:rPr>
        <w:t xml:space="preserve"> de </w:t>
      </w:r>
      <w:proofErr w:type="spellStart"/>
      <w:r w:rsidRPr="001B509B">
        <w:rPr>
          <w:rFonts w:ascii="Arial" w:hAnsi="Arial" w:cs="Arial"/>
          <w:color w:val="FF0000"/>
          <w:sz w:val="22"/>
          <w:szCs w:val="22"/>
          <w:lang w:val="es-ES_tradnl"/>
        </w:rPr>
        <w:t>naturalesa</w:t>
      </w:r>
      <w:proofErr w:type="spellEnd"/>
      <w:r w:rsidRPr="001B509B">
        <w:rPr>
          <w:rFonts w:ascii="Arial" w:hAnsi="Arial" w:cs="Arial"/>
          <w:color w:val="FF0000"/>
          <w:sz w:val="22"/>
          <w:szCs w:val="22"/>
          <w:lang w:val="es-ES_tradnl"/>
        </w:rPr>
        <w:t xml:space="preserve"> urbana el 0,7</w:t>
      </w:r>
      <w:r w:rsidRPr="001B509B">
        <w:rPr>
          <w:rFonts w:ascii="Arial" w:hAnsi="Arial" w:cs="Arial"/>
          <w:color w:val="FF0000"/>
          <w:sz w:val="22"/>
          <w:szCs w:val="22"/>
          <w:lang w:val="es-ES_tradnl"/>
        </w:rPr>
        <w:t>0</w:t>
      </w:r>
      <w:r w:rsidRPr="001B509B">
        <w:rPr>
          <w:rFonts w:ascii="Arial" w:hAnsi="Arial" w:cs="Arial"/>
          <w:color w:val="FF0000"/>
          <w:sz w:val="22"/>
          <w:szCs w:val="22"/>
          <w:lang w:val="es-ES_tradnl"/>
        </w:rPr>
        <w:t>%</w:t>
      </w:r>
    </w:p>
    <w:p w:rsidR="001B509B" w:rsidRPr="00F87A0B" w:rsidRDefault="001B509B" w:rsidP="001B509B">
      <w:pPr>
        <w:pStyle w:val="NormalWeb"/>
        <w:numPr>
          <w:ilvl w:val="0"/>
          <w:numId w:val="8"/>
        </w:numPr>
        <w:spacing w:before="0" w:beforeAutospacing="0" w:after="0" w:afterAutospacing="0" w:line="240" w:lineRule="auto"/>
        <w:rPr>
          <w:rFonts w:ascii="Arial" w:hAnsi="Arial" w:cs="Arial"/>
          <w:sz w:val="22"/>
          <w:szCs w:val="22"/>
          <w:lang w:val="es-ES_tradnl"/>
        </w:rPr>
      </w:pPr>
      <w:proofErr w:type="spellStart"/>
      <w:r w:rsidRPr="00F87A0B">
        <w:rPr>
          <w:rFonts w:ascii="Arial" w:hAnsi="Arial" w:cs="Arial"/>
          <w:sz w:val="22"/>
          <w:szCs w:val="22"/>
          <w:lang w:val="es-ES_tradnl"/>
        </w:rPr>
        <w:t>Quan</w:t>
      </w:r>
      <w:proofErr w:type="spellEnd"/>
      <w:r w:rsidRPr="00F87A0B">
        <w:rPr>
          <w:rFonts w:ascii="Arial" w:hAnsi="Arial" w:cs="Arial"/>
          <w:sz w:val="22"/>
          <w:szCs w:val="22"/>
          <w:lang w:val="es-ES_tradnl"/>
        </w:rPr>
        <w:t xml:space="preserve"> es </w:t>
      </w:r>
      <w:proofErr w:type="spellStart"/>
      <w:r w:rsidRPr="00F87A0B">
        <w:rPr>
          <w:rFonts w:ascii="Arial" w:hAnsi="Arial" w:cs="Arial"/>
          <w:sz w:val="22"/>
          <w:szCs w:val="22"/>
          <w:lang w:val="es-ES_tradnl"/>
        </w:rPr>
        <w:t>tracti</w:t>
      </w:r>
      <w:proofErr w:type="spellEnd"/>
      <w:r w:rsidRPr="00F87A0B">
        <w:rPr>
          <w:rFonts w:ascii="Arial" w:hAnsi="Arial" w:cs="Arial"/>
          <w:sz w:val="22"/>
          <w:szCs w:val="22"/>
          <w:lang w:val="es-ES_tradnl"/>
        </w:rPr>
        <w:t xml:space="preserve"> de </w:t>
      </w:r>
      <w:proofErr w:type="spellStart"/>
      <w:r w:rsidRPr="00F87A0B">
        <w:rPr>
          <w:rFonts w:ascii="Arial" w:hAnsi="Arial" w:cs="Arial"/>
          <w:sz w:val="22"/>
          <w:szCs w:val="22"/>
          <w:lang w:val="es-ES_tradnl"/>
        </w:rPr>
        <w:t>béns</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immobles</w:t>
      </w:r>
      <w:proofErr w:type="spellEnd"/>
      <w:r w:rsidRPr="00F87A0B">
        <w:rPr>
          <w:rFonts w:ascii="Arial" w:hAnsi="Arial" w:cs="Arial"/>
          <w:sz w:val="22"/>
          <w:szCs w:val="22"/>
          <w:lang w:val="es-ES_tradnl"/>
        </w:rPr>
        <w:t xml:space="preserve"> de </w:t>
      </w:r>
      <w:proofErr w:type="spellStart"/>
      <w:r w:rsidRPr="00F87A0B">
        <w:rPr>
          <w:rFonts w:ascii="Arial" w:hAnsi="Arial" w:cs="Arial"/>
          <w:sz w:val="22"/>
          <w:szCs w:val="22"/>
          <w:lang w:val="es-ES_tradnl"/>
        </w:rPr>
        <w:t>característiques</w:t>
      </w:r>
      <w:proofErr w:type="spellEnd"/>
      <w:r w:rsidRPr="00F87A0B">
        <w:rPr>
          <w:rFonts w:ascii="Arial" w:hAnsi="Arial" w:cs="Arial"/>
          <w:sz w:val="22"/>
          <w:szCs w:val="22"/>
          <w:lang w:val="es-ES_tradnl"/>
        </w:rPr>
        <w:t xml:space="preserve"> </w:t>
      </w:r>
      <w:proofErr w:type="spellStart"/>
      <w:r w:rsidRPr="00F87A0B">
        <w:rPr>
          <w:rFonts w:ascii="Arial" w:hAnsi="Arial" w:cs="Arial"/>
          <w:sz w:val="22"/>
          <w:szCs w:val="22"/>
          <w:lang w:val="es-ES_tradnl"/>
        </w:rPr>
        <w:t>especials</w:t>
      </w:r>
      <w:proofErr w:type="spellEnd"/>
      <w:r w:rsidRPr="00F87A0B">
        <w:rPr>
          <w:rFonts w:ascii="Arial" w:hAnsi="Arial" w:cs="Arial"/>
          <w:sz w:val="22"/>
          <w:szCs w:val="22"/>
          <w:lang w:val="es-ES_tradnl"/>
        </w:rPr>
        <w:t xml:space="preserve"> el 0,96%</w:t>
      </w:r>
    </w:p>
    <w:p w:rsidR="001B509B" w:rsidRPr="00F87A0B"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p>
    <w:p w:rsidR="001B509B" w:rsidRPr="00F87A0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r w:rsidRPr="00F87A0B">
        <w:rPr>
          <w:rFonts w:cs="Arial"/>
          <w:spacing w:val="-3"/>
        </w:rPr>
        <w:t>2. La quota íntegra serà el resultat d’aplicar a la base liquidable el tipus de gravamen definit en l’apartat anterior.</w:t>
      </w:r>
    </w:p>
    <w:p w:rsidR="001B509B" w:rsidRPr="00F87A0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p>
    <w:p w:rsidR="001B509B" w:rsidRPr="00F87A0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r w:rsidRPr="00F87A0B">
        <w:rPr>
          <w:rFonts w:cs="Arial"/>
          <w:spacing w:val="-3"/>
        </w:rPr>
        <w:t>3. La quota líquida s’obtindrà de la minoració de la quota íntegra, per l’import de les bonificacions previstes legalment   en l’article 8 de la present ordenança.</w:t>
      </w:r>
    </w:p>
    <w:p w:rsidR="001B509B" w:rsidRPr="00F87A0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p>
    <w:p w:rsidR="001B509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r w:rsidRPr="00F87A0B">
        <w:rPr>
          <w:rFonts w:cs="Arial"/>
          <w:spacing w:val="-3"/>
        </w:rPr>
        <w:t>4. S’estableix un recàrrec del 50% sobre  la quota líquida dels béns immobles urbans d’ús residencial desocupats amb caràcter permanent, que s’aplicarà d’acord amb el què disposa el paràgraf tercer de l’apartat 4 de l’article 73 de la Llei reguladora de les Hisendes Locals. Aquest recàrrec que s’exigirà als subjectes passius del tribut i al qual resultaran aplicables, en el no previst en aquest paràgraf les disposicions reguladores del mateix, es meritarà el 31 de desembre  i es liquidarà anualment per l’ajuntament un cop constatada la desocupació de l’immoble, juntament amb l’acte administratiu pel qual es declari. Les condicions per les quals es considerarà desocupat un immoble amb caràcter permanent, s’han de desenvolupar reglamentàriament, i seran les que s’aplicaran per l’ajuntament a l’hora de liquidar el recàrrec indicat.</w:t>
      </w:r>
    </w:p>
    <w:p w:rsidR="001B509B" w:rsidRPr="00F87A0B"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spacing w:before="0" w:after="0"/>
        <w:jc w:val="both"/>
        <w:rPr>
          <w:rFonts w:cs="Arial"/>
          <w:spacing w:val="-3"/>
        </w:rPr>
      </w:pP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8è. Bonificacions</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D’acord amb el que possibilita  l’article 73 i 74  del RD legislatiu 2/2004 de 5 de març pel que s’aprova  el text refós de la Llei Reguladora de les Hisendes locals s’estableix les següents bonificacions.</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Les bonificacions obligatòries de l’article 73 del RD Legislatiu 2/2004.</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 xml:space="preserve">1. Es concedirà una bonificació del 50 % de la quota íntegra de l’impost, prèvia sol·licitud dels interessats i abans del inici de les obres corresponents, els immobles que constitueixin l’objecte l’activitat de les empreses d’urbanització, construcció i promoció immobiliària tant </w:t>
      </w:r>
      <w:r w:rsidRPr="00716318">
        <w:rPr>
          <w:rFonts w:cs="Arial"/>
          <w:spacing w:val="-3"/>
        </w:rPr>
        <w:lastRenderedPageBreak/>
        <w:t>d’obra nova com de rehabilitació equiparable a aquesta i no figurin entre els béns d’immobilitzat.</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El termini d’aplicació d’aquesta bonificació comprendrà des del inici del període impositiu següent en aquell en que  s’iniciïn les obres fins el posterior a l’acabament d’aquestes, sempre que durant aquest període  es realitzin obres d’urbanització o construcció efectiva i sense que en cap cas es pugui excedir  de tres períodes impositius</w:t>
      </w:r>
    </w:p>
    <w:p w:rsidR="001B509B" w:rsidRPr="00716318" w:rsidRDefault="001B509B" w:rsidP="001B509B">
      <w:pPr>
        <w:tabs>
          <w:tab w:val="left" w:pos="-1440"/>
          <w:tab w:val="left" w:pos="-720"/>
          <w:tab w:val="left" w:pos="0"/>
          <w:tab w:val="left" w:pos="426"/>
          <w:tab w:val="left" w:pos="884"/>
          <w:tab w:val="left" w:pos="1032"/>
          <w:tab w:val="left" w:pos="1178"/>
          <w:tab w:val="left" w:pos="1326"/>
          <w:tab w:val="left" w:pos="1440"/>
          <w:tab w:val="left" w:pos="1473"/>
          <w:tab w:val="left" w:pos="1621"/>
          <w:tab w:val="left" w:pos="2160"/>
        </w:tabs>
        <w:suppressAutoHyphens/>
        <w:spacing w:after="0"/>
        <w:jc w:val="both"/>
        <w:rPr>
          <w:rFonts w:cs="Arial"/>
          <w:spacing w:val="-3"/>
        </w:rPr>
      </w:pPr>
      <w:r>
        <w:rPr>
          <w:rFonts w:cs="Arial"/>
          <w:spacing w:val="-3"/>
        </w:rPr>
        <w:t xml:space="preserve">2. </w:t>
      </w:r>
      <w:r w:rsidRPr="00716318">
        <w:rPr>
          <w:rFonts w:cs="Arial"/>
          <w:spacing w:val="-3"/>
        </w:rPr>
        <w:t>Es concedirà una bonificació del 50% de la quota íntegra als béns immobles VPO, i/o equiparats segons normativa de les CCAA, prèvia sol·licitud dels interessats abans de l’atorgament de la qualificació definitiva i pel període de tres anys de durada des de la data de sol·licitud.</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Aquesta bonificació es concedirà a petició de l ‘interessa’t , i podrà efectuar-se en qualsevol moment anterior a la finalització dels tres períodes  impositius de duració d’aquella i sorgí  efecte , en el seu cas , des de el període impositiu a aquell en que es sol·liciti.</w:t>
      </w:r>
    </w:p>
    <w:p w:rsidR="001B509B"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 xml:space="preserve">3. Es concedirà una bonificació del 95%a la quota íntegra i en el seu cas del recàrrec previst a l’article 153 del RD legislatiu 2/2004 als béns rústics de cooperatives agràries i explotació comunitària de la terra, en els termes establerts a la Llei 20/90 de Règim </w:t>
      </w:r>
      <w:r>
        <w:rPr>
          <w:rFonts w:cs="Arial"/>
          <w:spacing w:val="-3"/>
        </w:rPr>
        <w:t>fiscal</w:t>
      </w:r>
      <w:r w:rsidRPr="00716318">
        <w:rPr>
          <w:rFonts w:cs="Arial"/>
          <w:spacing w:val="-3"/>
        </w:rPr>
        <w:t xml:space="preserve"> de les Cooperatives.</w:t>
      </w:r>
    </w:p>
    <w:p w:rsidR="001B509B" w:rsidRPr="009C5D3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color w:val="FF0000"/>
          <w:spacing w:val="-3"/>
        </w:rPr>
      </w:pPr>
      <w:r w:rsidRPr="009C5D38">
        <w:rPr>
          <w:rFonts w:cs="Arial"/>
          <w:color w:val="FF0000"/>
          <w:spacing w:val="-3"/>
        </w:rPr>
        <w:t xml:space="preserve">4. </w:t>
      </w:r>
      <w:r w:rsidRPr="009C5D38">
        <w:rPr>
          <w:color w:val="FF0000"/>
        </w:rPr>
        <w:t xml:space="preserve">Es concedirà,  prèvia </w:t>
      </w:r>
      <w:proofErr w:type="spellStart"/>
      <w:r w:rsidRPr="009C5D38">
        <w:rPr>
          <w:color w:val="FF0000"/>
        </w:rPr>
        <w:t>sol.licitud</w:t>
      </w:r>
      <w:proofErr w:type="spellEnd"/>
      <w:r w:rsidRPr="009C5D38">
        <w:rPr>
          <w:color w:val="FF0000"/>
        </w:rPr>
        <w:t xml:space="preserve"> dels interessats, una </w:t>
      </w:r>
      <w:r w:rsidRPr="009C5D38">
        <w:rPr>
          <w:color w:val="FF0000"/>
        </w:rPr>
        <w:t xml:space="preserve">bonificació de fins el </w:t>
      </w:r>
      <w:r w:rsidRPr="009C5D38">
        <w:rPr>
          <w:color w:val="FF0000"/>
        </w:rPr>
        <w:t>1</w:t>
      </w:r>
      <w:r w:rsidRPr="009C5D38">
        <w:rPr>
          <w:color w:val="FF0000"/>
        </w:rPr>
        <w:t xml:space="preserve">0 % de la quota integra de l’impost </w:t>
      </w:r>
      <w:r w:rsidRPr="009C5D38">
        <w:rPr>
          <w:color w:val="FF0000"/>
        </w:rPr>
        <w:t>a</w:t>
      </w:r>
      <w:r w:rsidRPr="009C5D38">
        <w:rPr>
          <w:color w:val="FF0000"/>
        </w:rPr>
        <w:t>ls habitatges en què s’instal·lin sistemes per l’aprofitament tèrmic o elèctric de l’energia provenint del sol</w:t>
      </w:r>
      <w:r w:rsidRPr="009C5D38">
        <w:rPr>
          <w:color w:val="FF0000"/>
        </w:rPr>
        <w:t xml:space="preserve">. </w:t>
      </w:r>
      <w:r w:rsidRPr="009C5D38">
        <w:rPr>
          <w:color w:val="FF0000"/>
        </w:rPr>
        <w:t>La sol·licitud de bonificació ha de ser simultània a la sol·licitud de l’oportuna llic</w:t>
      </w:r>
      <w:r w:rsidRPr="009C5D38">
        <w:rPr>
          <w:color w:val="FF0000"/>
        </w:rPr>
        <w:t>è</w:t>
      </w:r>
      <w:r w:rsidRPr="009C5D38">
        <w:rPr>
          <w:color w:val="FF0000"/>
        </w:rPr>
        <w:t>ncia d’obres i contindrà l’oportú projecte tècnic amb el pressupost i la memòria de la instal·lació</w:t>
      </w:r>
      <w:r w:rsidRPr="009C5D38">
        <w:rPr>
          <w:color w:val="FF0000"/>
        </w:rPr>
        <w:t xml:space="preserve"> i tindrà efectes </w:t>
      </w:r>
      <w:r w:rsidRPr="009C5D38">
        <w:rPr>
          <w:rFonts w:cs="Arial"/>
          <w:color w:val="FF0000"/>
          <w:spacing w:val="-3"/>
        </w:rPr>
        <w:t xml:space="preserve">des del període impositiu </w:t>
      </w:r>
      <w:r w:rsidRPr="009C5D38">
        <w:rPr>
          <w:rFonts w:cs="Arial"/>
          <w:color w:val="FF0000"/>
          <w:spacing w:val="-3"/>
        </w:rPr>
        <w:t>següent a</w:t>
      </w:r>
      <w:r w:rsidRPr="009C5D38">
        <w:rPr>
          <w:rFonts w:cs="Arial"/>
          <w:color w:val="FF0000"/>
          <w:spacing w:val="-3"/>
        </w:rPr>
        <w:t xml:space="preserve"> aquell en que es sol·liciti.</w:t>
      </w:r>
      <w:r w:rsidR="009C5D38" w:rsidRPr="009C5D38">
        <w:rPr>
          <w:rFonts w:cs="Arial"/>
          <w:color w:val="FF0000"/>
          <w:spacing w:val="-3"/>
        </w:rPr>
        <w:t>. Aquesta bonificació s</w:t>
      </w:r>
      <w:r w:rsidRPr="009C5D38">
        <w:rPr>
          <w:color w:val="FF0000"/>
        </w:rPr>
        <w:t>’aplicarà durant els cinc exercicis següents a la data de sol·licitud de bonificació i no pot tenir efecte retroactiu.</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Les bonificacions potestatives de l’art 74 del RD Legislatiu 2/2004</w:t>
      </w:r>
      <w:r>
        <w:rPr>
          <w:rFonts w:cs="Arial"/>
          <w:spacing w:val="-3"/>
        </w:rPr>
        <w:t>.</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Pr>
          <w:rFonts w:cs="Arial"/>
          <w:color w:val="FF0000"/>
          <w:spacing w:val="-3"/>
        </w:rPr>
        <w:t>1</w:t>
      </w:r>
      <w:r w:rsidRPr="001B509B">
        <w:rPr>
          <w:rFonts w:cs="Arial"/>
          <w:color w:val="FF0000"/>
          <w:spacing w:val="-3"/>
        </w:rPr>
        <w:t xml:space="preserve">. </w:t>
      </w:r>
      <w:r w:rsidRPr="001B509B">
        <w:rPr>
          <w:rFonts w:cs="Arial"/>
          <w:color w:val="FF0000"/>
          <w:spacing w:val="-3"/>
        </w:rPr>
        <w:t xml:space="preserve">Gaudiran  d’una bonificació del </w:t>
      </w:r>
      <w:r w:rsidRPr="001B509B">
        <w:rPr>
          <w:rFonts w:cs="Arial"/>
          <w:color w:val="FF0000"/>
          <w:spacing w:val="-3"/>
        </w:rPr>
        <w:t>3</w:t>
      </w:r>
      <w:r w:rsidRPr="001B509B">
        <w:rPr>
          <w:rFonts w:cs="Arial"/>
          <w:color w:val="FF0000"/>
          <w:spacing w:val="-3"/>
        </w:rPr>
        <w:t>0% en la quota íntegra del impost els subjectes passius que ostentin la condició de titularitat de famílies nombroses</w:t>
      </w:r>
      <w:r w:rsidRPr="00716318">
        <w:rPr>
          <w:rFonts w:cs="Arial"/>
          <w:spacing w:val="-3"/>
        </w:rPr>
        <w:t>, a aquest percentatge s’hi afegirà un 5% addicional per cada membre de més del nombre mínim de família nombrosa, fins  UN MÀXIM DEL 50%. Per poder gaudir d’aquesta bonificació s’hauran de complir els següents requisits:</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a) La renda de la unitat familiar no pot superar els 36.000,00 anuals.</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b) El valor cadastral de l’immoble haurà d’ésser inferior a 100.000,00€</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c) A efectes d’aquesta bonificació , tant per la consideració de  família nombrosa com del % màxim, es comptabilitzaran  únicament els membres de unitat familiar empadronats.</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d) Caldrà presentar la corresponent sol·licitud de bonificació, durant el primer trimestre de cada any. El subjecte passiu titular de la família nombrosa  haurà d’aportar el llibre de família i el document acreditatiu per l’administració competent. L’esmentada petició s’haurà de renovar anualment.</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 xml:space="preserve">2. Gaudiran d’una bonificació del 10% de la quota integra del impost a favor de bens immobles urbans ubicats en àrees o zones del municipi  que, de conformitat a la legislació i el planejament urbanístic, corresponguin a assentaments de població singularitzats per la seva vinculació o preeminència d’activitats  primàries de caràcter agrícola, ramader, forestal, pesquer i que suposin d’un nivell de serveis de competència municipals, infraestructures o equipaments  col·lectius  inferior a l’existent en  les àrees o zones  </w:t>
      </w:r>
      <w:r w:rsidRPr="00716318">
        <w:rPr>
          <w:rFonts w:cs="Arial"/>
          <w:spacing w:val="-3"/>
        </w:rPr>
        <w:lastRenderedPageBreak/>
        <w:t>consolidades del municipi, sempre que els seves característiques  econòmiques aconsellin una especial protecció.</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Les característiques diferencials i especials  i l’àmbit dels nuclis de població, àrees o zones, així com la tipologia de  les construccions  i usos  necessaris per l’aplicació d’aquesta bonificació i la seva durada , quantia anual i resta d’aspectes substantius i formals s’especifiquen  seguidament</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Àmbit d’aplicació: Ribes Altes, Batet, Ventolà i Bruguera o explotacions aïllades de Ribes de Freser.</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Característiques: IBI  de  la llar familiar, (residència habitual) lligada a l’explotació ramadera, agrícola o forestal.</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Activitat vigent  pròpia de la unitat familiar.</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Titulars del IBI  i de l’explotació.</w:t>
      </w:r>
    </w:p>
    <w:p w:rsidR="001B509B" w:rsidRPr="00716318" w:rsidRDefault="001B509B" w:rsidP="001B509B">
      <w:pPr>
        <w:numPr>
          <w:ilvl w:val="12"/>
          <w:numId w:val="0"/>
        </w:num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Sol·licitud anual</w:t>
      </w:r>
    </w:p>
    <w:p w:rsidR="001B509B" w:rsidRPr="00716318" w:rsidRDefault="001B509B" w:rsidP="001B509B">
      <w:pPr>
        <w:numPr>
          <w:ilvl w:val="0"/>
          <w:numId w:val="6"/>
        </w:numPr>
        <w:tabs>
          <w:tab w:val="left" w:pos="-1440"/>
          <w:tab w:val="left" w:pos="-720"/>
          <w:tab w:val="left" w:pos="0"/>
          <w:tab w:val="left" w:pos="147"/>
          <w:tab w:val="left" w:pos="295"/>
          <w:tab w:val="left" w:pos="441"/>
          <w:tab w:val="left" w:pos="709"/>
          <w:tab w:val="left" w:pos="884"/>
          <w:tab w:val="left" w:pos="1032"/>
          <w:tab w:val="left" w:pos="1178"/>
          <w:tab w:val="left" w:pos="1326"/>
          <w:tab w:val="left" w:pos="1440"/>
          <w:tab w:val="left" w:pos="1473"/>
          <w:tab w:val="left" w:pos="1621"/>
          <w:tab w:val="left" w:pos="2160"/>
        </w:tabs>
        <w:suppressAutoHyphens/>
        <w:spacing w:after="0"/>
        <w:ind w:hanging="720"/>
        <w:jc w:val="both"/>
        <w:rPr>
          <w:rFonts w:cs="Arial"/>
          <w:spacing w:val="-3"/>
        </w:rPr>
      </w:pPr>
      <w:r w:rsidRPr="00716318">
        <w:rPr>
          <w:rFonts w:cs="Arial"/>
          <w:spacing w:val="-3"/>
        </w:rPr>
        <w:t>En el supòsit de concurrència de més d’una bonificació s’aplicarà el següent criteri.</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 xml:space="preserve">Primer s’aplicaran les bonificacions obligatòries d’acord a la normativa vigent, punts a, b, c Segon  En segon lloc operaran les potestatives  </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Tercer. Cada bonificació operarà sobre la quota líquida derivada de l’aplicació de la bonificació anterior.</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Quart: Les bonificacions potestatives de l’article 74 caldrà sol·licitar-les i acreditar-les anul·lament  abans del mes 31 de gener de l’any en curs.</w:t>
      </w:r>
    </w:p>
    <w:p w:rsidR="001B509B" w:rsidRPr="00716318" w:rsidRDefault="001B509B" w:rsidP="001B509B">
      <w:pPr>
        <w:suppressAutoHyphens/>
        <w:jc w:val="both"/>
        <w:rPr>
          <w:rFonts w:cs="Arial"/>
          <w:spacing w:val="-3"/>
        </w:rPr>
      </w:pPr>
      <w:r w:rsidRPr="00716318">
        <w:rPr>
          <w:rFonts w:cs="Arial"/>
          <w:spacing w:val="-3"/>
        </w:rPr>
        <w:t>Els beneficis fiscals els quals el seu suport  legal desapareix, es mantindran fins a la fi del període reconegut amb la normativa anterior.</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b/>
          <w:spacing w:val="-3"/>
        </w:rPr>
        <w:t xml:space="preserve">Article 9è.  </w:t>
      </w:r>
      <w:proofErr w:type="spellStart"/>
      <w:r w:rsidRPr="00716318">
        <w:rPr>
          <w:rFonts w:cs="Arial"/>
          <w:b/>
          <w:spacing w:val="-3"/>
        </w:rPr>
        <w:t>Meritament</w:t>
      </w:r>
      <w:proofErr w:type="spellEnd"/>
      <w:r w:rsidRPr="00716318">
        <w:rPr>
          <w:rFonts w:cs="Arial"/>
          <w:b/>
          <w:spacing w:val="-3"/>
        </w:rPr>
        <w:t xml:space="preserve"> i període impositiu</w:t>
      </w:r>
    </w:p>
    <w:p w:rsidR="001B509B" w:rsidRPr="00716318" w:rsidRDefault="001B509B" w:rsidP="001B509B">
      <w:pPr>
        <w:numPr>
          <w:ilvl w:val="0"/>
          <w:numId w:val="1"/>
        </w:numPr>
        <w:tabs>
          <w:tab w:val="left" w:pos="-1440"/>
          <w:tab w:val="left" w:pos="-720"/>
          <w:tab w:val="left" w:pos="0"/>
          <w:tab w:val="left" w:pos="147"/>
          <w:tab w:val="left" w:pos="284"/>
          <w:tab w:val="left" w:pos="441"/>
          <w:tab w:val="left" w:pos="884"/>
          <w:tab w:val="left" w:pos="1032"/>
          <w:tab w:val="left" w:pos="1178"/>
          <w:tab w:val="left" w:pos="1326"/>
          <w:tab w:val="left" w:pos="1440"/>
          <w:tab w:val="left" w:pos="1473"/>
          <w:tab w:val="left" w:pos="1621"/>
          <w:tab w:val="left" w:pos="2160"/>
        </w:tabs>
        <w:suppressAutoHyphens/>
        <w:spacing w:after="0"/>
        <w:ind w:hanging="720"/>
        <w:jc w:val="both"/>
        <w:rPr>
          <w:rFonts w:cs="Arial"/>
          <w:spacing w:val="-3"/>
        </w:rPr>
      </w:pPr>
      <w:r w:rsidRPr="00716318">
        <w:rPr>
          <w:rFonts w:cs="Arial"/>
          <w:spacing w:val="-3"/>
        </w:rPr>
        <w:t>L’impost es merita el primer dia del període impositiu.</w:t>
      </w:r>
    </w:p>
    <w:p w:rsidR="001B509B" w:rsidRPr="00716318" w:rsidRDefault="001B509B" w:rsidP="001B509B">
      <w:pPr>
        <w:numPr>
          <w:ilvl w:val="0"/>
          <w:numId w:val="1"/>
        </w:numPr>
        <w:tabs>
          <w:tab w:val="left" w:pos="-1440"/>
          <w:tab w:val="left" w:pos="-720"/>
          <w:tab w:val="left" w:pos="0"/>
          <w:tab w:val="left" w:pos="147"/>
          <w:tab w:val="left" w:pos="284"/>
          <w:tab w:val="left" w:pos="441"/>
          <w:tab w:val="left" w:pos="884"/>
          <w:tab w:val="left" w:pos="1032"/>
          <w:tab w:val="left" w:pos="1178"/>
          <w:tab w:val="left" w:pos="1326"/>
          <w:tab w:val="left" w:pos="1440"/>
          <w:tab w:val="left" w:pos="1473"/>
          <w:tab w:val="left" w:pos="1621"/>
          <w:tab w:val="left" w:pos="2160"/>
        </w:tabs>
        <w:suppressAutoHyphens/>
        <w:spacing w:after="0"/>
        <w:ind w:hanging="720"/>
        <w:jc w:val="both"/>
        <w:rPr>
          <w:rFonts w:cs="Arial"/>
          <w:spacing w:val="-3"/>
        </w:rPr>
      </w:pPr>
      <w:r w:rsidRPr="00716318">
        <w:rPr>
          <w:rFonts w:cs="Arial"/>
          <w:spacing w:val="-3"/>
        </w:rPr>
        <w:t>El període impositiu coincideix amb l’any natural.</w:t>
      </w:r>
    </w:p>
    <w:p w:rsidR="001B509B" w:rsidRDefault="001B509B" w:rsidP="001B509B">
      <w:pPr>
        <w:numPr>
          <w:ilvl w:val="0"/>
          <w:numId w:val="1"/>
        </w:numPr>
        <w:tabs>
          <w:tab w:val="clear" w:pos="720"/>
          <w:tab w:val="left" w:pos="-1440"/>
          <w:tab w:val="left" w:pos="-720"/>
          <w:tab w:val="left" w:pos="0"/>
          <w:tab w:val="left" w:pos="147"/>
          <w:tab w:val="num" w:pos="284"/>
          <w:tab w:val="left" w:pos="441"/>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Les variacions d’ordre físic, econòmic o jurídic, que es produeixen en els béns immobles inclosa la modificació de titularitat, tenen efectivitat a partir  de l’any següent a aquell e què es produeixen els efectes cadastral.</w:t>
      </w:r>
    </w:p>
    <w:p w:rsidR="001B509B" w:rsidRPr="00F87A0B" w:rsidRDefault="001B509B" w:rsidP="001B509B">
      <w:pPr>
        <w:tabs>
          <w:tab w:val="left" w:pos="-1440"/>
          <w:tab w:val="left" w:pos="-720"/>
          <w:tab w:val="left" w:pos="0"/>
          <w:tab w:val="left" w:pos="147"/>
          <w:tab w:val="left" w:pos="441"/>
          <w:tab w:val="left" w:pos="884"/>
          <w:tab w:val="left" w:pos="1032"/>
          <w:tab w:val="left" w:pos="1178"/>
          <w:tab w:val="left" w:pos="1326"/>
          <w:tab w:val="left" w:pos="1440"/>
          <w:tab w:val="left" w:pos="1473"/>
          <w:tab w:val="left" w:pos="1621"/>
          <w:tab w:val="left" w:pos="2160"/>
        </w:tabs>
        <w:suppressAutoHyphens/>
        <w:spacing w:after="0"/>
        <w:ind w:left="284"/>
        <w:jc w:val="both"/>
        <w:rPr>
          <w:rFonts w:cs="Arial"/>
          <w:spacing w:val="-3"/>
        </w:rPr>
      </w:pP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b/>
          <w:spacing w:val="-3"/>
        </w:rPr>
        <w:t>Article 10è. Normes de gestió del impost</w:t>
      </w:r>
    </w:p>
    <w:p w:rsidR="001B509B" w:rsidRPr="00716318" w:rsidRDefault="001B509B" w:rsidP="001B509B">
      <w:pPr>
        <w:numPr>
          <w:ilvl w:val="0"/>
          <w:numId w:val="2"/>
        </w:numPr>
        <w:tabs>
          <w:tab w:val="clear" w:pos="720"/>
          <w:tab w:val="left" w:pos="-1440"/>
          <w:tab w:val="left" w:pos="-720"/>
          <w:tab w:val="left" w:pos="0"/>
          <w:tab w:val="left" w:pos="147"/>
          <w:tab w:val="num" w:pos="284"/>
          <w:tab w:val="left" w:pos="426"/>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Essent competència de l’ajuntament el reconeixement de beneficis fiscals, les sol·licituds per acollir-s’hi ha de ser presentades a l’administració municipal, davant la qual cal indicar així mateix, les circumstàncies que originen o justifiquen la modificació de règim.</w:t>
      </w:r>
    </w:p>
    <w:p w:rsidR="001B509B" w:rsidRPr="00716318" w:rsidRDefault="001B509B" w:rsidP="001B509B">
      <w:pPr>
        <w:numPr>
          <w:ilvl w:val="0"/>
          <w:numId w:val="2"/>
        </w:numPr>
        <w:tabs>
          <w:tab w:val="clear" w:pos="720"/>
          <w:tab w:val="left" w:pos="-1440"/>
          <w:tab w:val="left" w:pos="-720"/>
          <w:tab w:val="left" w:pos="0"/>
          <w:tab w:val="left" w:pos="147"/>
          <w:tab w:val="num" w:pos="284"/>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Les liquidacions tributàries són practicades per l’ajuntament, tant les que corresponent a valors – rebuts, com les liquidacions per ingrés directe.</w:t>
      </w:r>
    </w:p>
    <w:p w:rsidR="001B509B" w:rsidRPr="00716318" w:rsidRDefault="001B509B" w:rsidP="001B509B">
      <w:pPr>
        <w:numPr>
          <w:ilvl w:val="0"/>
          <w:numId w:val="2"/>
        </w:numPr>
        <w:tabs>
          <w:tab w:val="clear" w:pos="720"/>
          <w:tab w:val="left" w:pos="-1440"/>
          <w:tab w:val="left" w:pos="-720"/>
          <w:tab w:val="left" w:pos="0"/>
          <w:tab w:val="left" w:pos="147"/>
          <w:tab w:val="num" w:pos="284"/>
          <w:tab w:val="left" w:pos="426"/>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 xml:space="preserve">Contra els actes de gestió tributària, competència de l’ajuntament, els interessats poden formular recurs de reposició, previ al contenciós – administratiu, en el termini d’un mes </w:t>
      </w:r>
      <w:r w:rsidRPr="00716318">
        <w:rPr>
          <w:rFonts w:cs="Arial"/>
          <w:spacing w:val="-3"/>
        </w:rPr>
        <w:lastRenderedPageBreak/>
        <w:t>a comptar de la notificació expressa o l’exposició pública dels valors corresponents.</w:t>
      </w:r>
      <w:r w:rsidRPr="00716318">
        <w:rPr>
          <w:rFonts w:cs="Arial"/>
          <w:spacing w:val="-3"/>
        </w:rPr>
        <w:br/>
      </w:r>
    </w:p>
    <w:p w:rsidR="001B509B" w:rsidRPr="00716318" w:rsidRDefault="001B509B" w:rsidP="001B509B">
      <w:pPr>
        <w:numPr>
          <w:ilvl w:val="0"/>
          <w:numId w:val="2"/>
        </w:numPr>
        <w:tabs>
          <w:tab w:val="clear" w:pos="720"/>
          <w:tab w:val="left" w:pos="-1440"/>
          <w:tab w:val="left" w:pos="-720"/>
          <w:tab w:val="left" w:pos="0"/>
          <w:tab w:val="left" w:pos="147"/>
          <w:tab w:val="num" w:pos="284"/>
          <w:tab w:val="left" w:pos="426"/>
          <w:tab w:val="left" w:pos="884"/>
          <w:tab w:val="left" w:pos="1032"/>
          <w:tab w:val="left" w:pos="1178"/>
          <w:tab w:val="left" w:pos="1326"/>
          <w:tab w:val="left" w:pos="1440"/>
          <w:tab w:val="left" w:pos="1473"/>
          <w:tab w:val="left" w:pos="1621"/>
          <w:tab w:val="left" w:pos="2160"/>
        </w:tabs>
        <w:suppressAutoHyphens/>
        <w:spacing w:after="0"/>
        <w:ind w:left="284" w:hanging="284"/>
        <w:jc w:val="both"/>
        <w:rPr>
          <w:rFonts w:cs="Arial"/>
          <w:spacing w:val="-3"/>
        </w:rPr>
      </w:pPr>
      <w:r w:rsidRPr="00716318">
        <w:rPr>
          <w:rFonts w:cs="Arial"/>
          <w:spacing w:val="-3"/>
        </w:rPr>
        <w:t>La interposició de recurs no atura l’acció administrativa pel cobrament, a menys que, dins el termini previst per interposar el recurs, l ‘interessa’t sol·liciti la suspensió de l’execució de l’acte impugnat i acompanyi la garantia pel total del deute tributari.</w:t>
      </w:r>
    </w:p>
    <w:p w:rsidR="001B509B" w:rsidRPr="00716318" w:rsidRDefault="001B509B" w:rsidP="001B509B">
      <w:pPr>
        <w:tabs>
          <w:tab w:val="left" w:pos="-1440"/>
          <w:tab w:val="left" w:pos="-720"/>
          <w:tab w:val="left" w:pos="0"/>
          <w:tab w:val="left" w:pos="147"/>
          <w:tab w:val="left" w:pos="295"/>
          <w:tab w:val="left" w:pos="441"/>
          <w:tab w:val="left" w:pos="589"/>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No obstant això, en casos excepcionals, l’alcaldia por acordar la suspensió del procediment, sense prestació de cap mena de garantia, quant el recorrent justifiqui la impossibilitat de presentar-ne, o bé demostra fefaentment  l’existència d’errors materials en la liquidació que s’impugna.</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b/>
          <w:spacing w:val="-3"/>
        </w:rPr>
      </w:pPr>
      <w:r w:rsidRPr="00716318">
        <w:rPr>
          <w:rFonts w:cs="Arial"/>
          <w:b/>
          <w:spacing w:val="-3"/>
        </w:rPr>
        <w:t>Article 11è. Gestió per delegació</w:t>
      </w:r>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Havent delegat en el Consorci Servei Recaptació Cerdanya – Ripollès, les facultats de gestió de l’impost i havent-les acceptat, les normes de gestió contingudes a l’apartat 11, anterior, seran aplicables a les actuacions que ha de fer l’administració delegada.</w:t>
      </w:r>
    </w:p>
    <w:p w:rsidR="001B509B" w:rsidRPr="00653A0B" w:rsidRDefault="001B509B" w:rsidP="001B509B">
      <w:pPr>
        <w:jc w:val="both"/>
        <w:rPr>
          <w:b/>
          <w:bCs/>
        </w:rPr>
      </w:pPr>
      <w:r w:rsidRPr="00653A0B">
        <w:rPr>
          <w:b/>
        </w:rPr>
        <w:t>Article 12è. Infraccions i sancions</w:t>
      </w:r>
    </w:p>
    <w:p w:rsidR="001B509B" w:rsidRDefault="001B509B" w:rsidP="001B509B">
      <w:pPr>
        <w:pStyle w:val="Textoindependiente"/>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Es procedirà segons el que preveu la Llei General Tributària, les normes que regeixen complementen i desenvolupen el present impost i l’ordenança General de Gestió, Recaptació i Inspecció Tributària.</w:t>
      </w:r>
      <w:bookmarkStart w:id="1" w:name="_Toc491164693"/>
      <w:bookmarkStart w:id="2" w:name="_GoBack"/>
      <w:bookmarkEnd w:id="2"/>
    </w:p>
    <w:p w:rsidR="001B509B" w:rsidRPr="00653A0B" w:rsidRDefault="001B509B" w:rsidP="001B509B">
      <w:pPr>
        <w:jc w:val="both"/>
        <w:rPr>
          <w:b/>
        </w:rPr>
      </w:pPr>
      <w:r w:rsidRPr="00653A0B">
        <w:rPr>
          <w:b/>
        </w:rPr>
        <w:t>Article 13è. Remissió Normativa</w:t>
      </w:r>
      <w:bookmarkEnd w:id="1"/>
    </w:p>
    <w:p w:rsidR="001B509B" w:rsidRPr="00716318" w:rsidRDefault="001B509B" w:rsidP="001B509B">
      <w:pPr>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jc w:val="both"/>
        <w:rPr>
          <w:rFonts w:cs="Arial"/>
          <w:spacing w:val="-3"/>
        </w:rPr>
      </w:pPr>
      <w:r w:rsidRPr="00716318">
        <w:rPr>
          <w:rFonts w:cs="Arial"/>
          <w:spacing w:val="-3"/>
        </w:rPr>
        <w:t>En tot allò que no estigui especialment previst en aquesta Ordenança s’aplicaran les normes que regulen el present impost, l’ordenança General  de Gestió, Recaptació i Inspecció Tributària, la Llei General Tributària i les disposicions que les desenvolupin i complementin.</w:t>
      </w:r>
    </w:p>
    <w:p w:rsidR="001B509B" w:rsidRPr="00716318" w:rsidRDefault="001B509B" w:rsidP="001B509B">
      <w:pPr>
        <w:tabs>
          <w:tab w:val="left" w:pos="-1440"/>
          <w:tab w:val="left" w:pos="-72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ind w:right="58"/>
        <w:jc w:val="both"/>
        <w:rPr>
          <w:rFonts w:cs="Arial"/>
          <w:b/>
        </w:rPr>
      </w:pPr>
      <w:r w:rsidRPr="00716318">
        <w:rPr>
          <w:rFonts w:cs="Arial"/>
          <w:b/>
        </w:rPr>
        <w:t>Article 14.  Vigència</w:t>
      </w:r>
    </w:p>
    <w:p w:rsidR="001B509B" w:rsidRPr="00E5785F" w:rsidRDefault="001B509B" w:rsidP="001B509B">
      <w:pPr>
        <w:jc w:val="both"/>
        <w:rPr>
          <w:rFonts w:cs="Arial"/>
        </w:rPr>
      </w:pPr>
      <w:r w:rsidRPr="00E5785F">
        <w:rPr>
          <w:rFonts w:cs="Arial"/>
        </w:rPr>
        <w:t xml:space="preserve">La present Ordenança fiscal </w:t>
      </w:r>
      <w:r w:rsidR="009C5D38">
        <w:rPr>
          <w:rFonts w:cs="Arial"/>
        </w:rPr>
        <w:t xml:space="preserve">aprovada provisionalment pel Plenari Municipal en sessió celebrada en data _________ de 2019 i publica en el BOP número ___, de data __________2019, regirà a partir de l´1 de gener de 2020 i </w:t>
      </w:r>
      <w:r w:rsidRPr="00E5785F">
        <w:rPr>
          <w:rFonts w:cs="Arial"/>
        </w:rPr>
        <w:t xml:space="preserve">es mantindrà vigent fins </w:t>
      </w:r>
      <w:r w:rsidR="009C5D38">
        <w:rPr>
          <w:rFonts w:cs="Arial"/>
        </w:rPr>
        <w:t xml:space="preserve">a </w:t>
      </w:r>
      <w:proofErr w:type="spellStart"/>
      <w:r w:rsidRPr="00E5785F">
        <w:rPr>
          <w:rFonts w:cs="Arial"/>
        </w:rPr>
        <w:t>la</w:t>
      </w:r>
      <w:proofErr w:type="spellEnd"/>
      <w:r w:rsidRPr="00E5785F">
        <w:rPr>
          <w:rFonts w:cs="Arial"/>
        </w:rPr>
        <w:t xml:space="preserve"> seva modificació o derogació expressa.</w:t>
      </w:r>
    </w:p>
    <w:p w:rsidR="001B509B" w:rsidRDefault="001B509B"/>
    <w:sectPr w:rsidR="001B5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256"/>
    <w:multiLevelType w:val="hybridMultilevel"/>
    <w:tmpl w:val="A5AE74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6B97492"/>
    <w:multiLevelType w:val="hybridMultilevel"/>
    <w:tmpl w:val="78FCFB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85826F3"/>
    <w:multiLevelType w:val="hybridMultilevel"/>
    <w:tmpl w:val="F8F696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134058"/>
    <w:multiLevelType w:val="hybridMultilevel"/>
    <w:tmpl w:val="91DE6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78096B"/>
    <w:multiLevelType w:val="hybridMultilevel"/>
    <w:tmpl w:val="576C59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FAA1C54"/>
    <w:multiLevelType w:val="hybridMultilevel"/>
    <w:tmpl w:val="4E2C4F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9EB60E1"/>
    <w:multiLevelType w:val="hybridMultilevel"/>
    <w:tmpl w:val="A126BA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CC75DBA"/>
    <w:multiLevelType w:val="hybridMultilevel"/>
    <w:tmpl w:val="DADCDD70"/>
    <w:lvl w:ilvl="0" w:tplc="8BBC1F70">
      <w:start w:val="1"/>
      <w:numFmt w:val="lowerLetter"/>
      <w:lvlText w:val="%1)"/>
      <w:lvlJc w:val="left"/>
      <w:pPr>
        <w:tabs>
          <w:tab w:val="num" w:pos="510"/>
        </w:tabs>
        <w:ind w:left="51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9B"/>
    <w:rsid w:val="001B509B"/>
    <w:rsid w:val="009C5D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B9AA85"/>
  <w15:chartTrackingRefBased/>
  <w15:docId w15:val="{677DD1E8-EA96-4ADE-B104-10596F91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509B"/>
    <w:pPr>
      <w:spacing w:before="120" w:after="240" w:line="240" w:lineRule="auto"/>
    </w:pPr>
    <w:rPr>
      <w:rFonts w:ascii="Arial" w:eastAsia="Calibri" w:hAnsi="Arial" w:cs="Times New Roman"/>
    </w:rPr>
  </w:style>
  <w:style w:type="paragraph" w:styleId="Ttulo1">
    <w:name w:val="heading 1"/>
    <w:basedOn w:val="Normal"/>
    <w:next w:val="Normal"/>
    <w:link w:val="Ttulo1Car"/>
    <w:qFormat/>
    <w:rsid w:val="001B50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9">
    <w:name w:val="heading 9"/>
    <w:basedOn w:val="Normal"/>
    <w:next w:val="Normal"/>
    <w:link w:val="Ttulo9Car"/>
    <w:qFormat/>
    <w:rsid w:val="001B509B"/>
    <w:pPr>
      <w:spacing w:before="240" w:after="60" w:line="220" w:lineRule="atLeast"/>
      <w:outlineLvl w:val="8"/>
    </w:pPr>
    <w:rPr>
      <w:rFonts w:eastAsia="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509B"/>
    <w:rPr>
      <w:rFonts w:asciiTheme="majorHAnsi" w:eastAsiaTheme="majorEastAsia" w:hAnsiTheme="majorHAnsi" w:cstheme="majorBidi"/>
      <w:b/>
      <w:bCs/>
      <w:color w:val="2F5496" w:themeColor="accent1" w:themeShade="BF"/>
      <w:sz w:val="28"/>
      <w:szCs w:val="28"/>
    </w:rPr>
  </w:style>
  <w:style w:type="character" w:customStyle="1" w:styleId="Ttulo9Car">
    <w:name w:val="Título 9 Car"/>
    <w:basedOn w:val="Fuentedeprrafopredeter"/>
    <w:link w:val="Ttulo9"/>
    <w:rsid w:val="001B509B"/>
    <w:rPr>
      <w:rFonts w:ascii="Arial" w:eastAsia="Times New Roman" w:hAnsi="Arial" w:cs="Times New Roman"/>
      <w:lang w:val="es-ES" w:eastAsia="es-ES"/>
    </w:rPr>
  </w:style>
  <w:style w:type="paragraph" w:styleId="Textoindependiente">
    <w:name w:val="Body Text"/>
    <w:basedOn w:val="Normal"/>
    <w:link w:val="TextoindependienteCar"/>
    <w:qFormat/>
    <w:rsid w:val="001B509B"/>
  </w:style>
  <w:style w:type="character" w:customStyle="1" w:styleId="TextoindependienteCar">
    <w:name w:val="Texto independiente Car"/>
    <w:basedOn w:val="Fuentedeprrafopredeter"/>
    <w:link w:val="Textoindependiente"/>
    <w:rsid w:val="001B509B"/>
    <w:rPr>
      <w:rFonts w:ascii="Arial" w:eastAsia="Calibri" w:hAnsi="Arial" w:cs="Times New Roman"/>
    </w:rPr>
  </w:style>
  <w:style w:type="paragraph" w:styleId="NormalWeb">
    <w:name w:val="Normal (Web)"/>
    <w:basedOn w:val="Normal"/>
    <w:rsid w:val="001B509B"/>
    <w:pPr>
      <w:spacing w:before="100" w:beforeAutospacing="1" w:after="100" w:afterAutospacing="1" w:line="220" w:lineRule="atLeast"/>
      <w:jc w:val="both"/>
    </w:pPr>
    <w:rPr>
      <w:rFonts w:ascii="Verdana" w:eastAsia="Times New Roman" w:hAnsi="Verdana"/>
      <w:sz w:val="17"/>
      <w:szCs w:val="17"/>
      <w:lang w:val="es-ES" w:eastAsia="es-ES"/>
    </w:rPr>
  </w:style>
  <w:style w:type="paragraph" w:styleId="Prrafodelista">
    <w:name w:val="List Paragraph"/>
    <w:basedOn w:val="Normal"/>
    <w:uiPriority w:val="34"/>
    <w:qFormat/>
    <w:rsid w:val="001B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2389</Words>
  <Characters>13623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1</cp:revision>
  <dcterms:created xsi:type="dcterms:W3CDTF">2019-09-29T06:38:00Z</dcterms:created>
  <dcterms:modified xsi:type="dcterms:W3CDTF">2019-09-29T06:50:00Z</dcterms:modified>
</cp:coreProperties>
</file>