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5"/>
        <w:ind w:left="40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ÍTEM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2.4.1.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Calendari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conservació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règim</w:t>
      </w:r>
      <w:r>
        <w:rPr>
          <w:rFonts w:ascii="Arial" w:hAnsi="Arial"/>
          <w:b/>
          <w:spacing w:val="-14"/>
          <w:sz w:val="28"/>
        </w:rPr>
        <w:t> </w:t>
      </w:r>
      <w:r>
        <w:rPr>
          <w:rFonts w:ascii="Arial" w:hAnsi="Arial"/>
          <w:b/>
          <w:sz w:val="28"/>
        </w:rPr>
        <w:t>d’accés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documental</w:t>
      </w:r>
    </w:p>
    <w:p>
      <w:pPr>
        <w:spacing w:before="70"/>
        <w:ind w:left="40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Acció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normativa: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Gestió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documental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arxiu</w:t>
      </w:r>
    </w:p>
    <w:p>
      <w:pPr>
        <w:pStyle w:val="BodyText"/>
        <w:spacing w:before="137"/>
        <w:rPr>
          <w:rFonts w:ascii="Arial"/>
          <w:b/>
          <w:sz w:val="20"/>
        </w:r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"/>
        <w:gridCol w:w="8784"/>
        <w:gridCol w:w="248"/>
      </w:tblGrid>
      <w:tr>
        <w:trPr>
          <w:trHeight w:val="412" w:hRule="atLeast"/>
        </w:trPr>
        <w:tc>
          <w:tcPr>
            <w:tcW w:w="87" w:type="dxa"/>
            <w:vMerge w:val="restart"/>
            <w:shd w:val="clear" w:color="auto" w:fill="C00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84" w:type="dxa"/>
            <w:shd w:val="clear" w:color="auto" w:fill="C00000"/>
          </w:tcPr>
          <w:p>
            <w:pPr>
              <w:pStyle w:val="TableParagraph"/>
              <w:spacing w:before="72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Obligació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legal</w:t>
            </w:r>
          </w:p>
        </w:tc>
        <w:tc>
          <w:tcPr>
            <w:tcW w:w="248" w:type="dxa"/>
            <w:vMerge w:val="restart"/>
          </w:tcPr>
          <w:p>
            <w:pPr>
              <w:pStyle w:val="TableParagraph"/>
              <w:spacing w:before="15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32"/>
              <w:rPr>
                <w:sz w:val="22"/>
              </w:rPr>
            </w:pPr>
            <w:r>
              <w:rPr>
                <w:spacing w:val="-5"/>
                <w:sz w:val="22"/>
              </w:rPr>
              <w:t>la</w:t>
            </w:r>
          </w:p>
        </w:tc>
      </w:tr>
      <w:tr>
        <w:trPr>
          <w:trHeight w:val="955" w:hRule="atLeast"/>
        </w:trPr>
        <w:tc>
          <w:tcPr>
            <w:tcW w:w="87" w:type="dxa"/>
            <w:vMerge/>
            <w:tcBorders>
              <w:top w:val="nil"/>
            </w:tcBorders>
            <w:shd w:val="clear" w:color="auto" w:fill="C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4" w:type="dxa"/>
          </w:tcPr>
          <w:p>
            <w:pPr>
              <w:pStyle w:val="TableParagraph"/>
              <w:spacing w:line="242" w:lineRule="auto"/>
              <w:ind w:left="98" w:right="58" w:hanging="17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Article:</w:t>
            </w:r>
            <w:r>
              <w:rPr>
                <w:rFonts w:ascii="Arial" w:hAnsi="Arial"/>
                <w:b/>
                <w:spacing w:val="3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5,</w:t>
            </w:r>
            <w:r>
              <w:rPr>
                <w:rFonts w:ascii="Arial" w:hAnsi="Arial"/>
                <w:b/>
                <w:spacing w:val="3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</w:t>
            </w:r>
            <w:r>
              <w:rPr>
                <w:rFonts w:ascii="Arial" w:hAnsi="Arial"/>
                <w:b/>
                <w:spacing w:val="2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</w:t>
            </w:r>
            <w:r>
              <w:rPr>
                <w:rFonts w:ascii="Arial" w:hAnsi="Arial"/>
                <w:b/>
                <w:spacing w:val="3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19</w:t>
            </w:r>
            <w:r>
              <w:rPr>
                <w:rFonts w:ascii="Arial" w:hAnsi="Arial"/>
                <w:b/>
                <w:spacing w:val="3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Llei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19/2014,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desembre,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transparència,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accés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 informació pública i bon govern (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LTC</w:t>
              </w:r>
            </w:hyperlink>
            <w:r>
              <w:rPr>
                <w:sz w:val="22"/>
              </w:rPr>
              <w:t>).</w:t>
            </w:r>
          </w:p>
        </w:tc>
        <w:tc>
          <w:tcPr>
            <w:tcW w:w="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38"/>
        <w:rPr>
          <w:rFonts w:ascii="Arial"/>
          <w:b/>
          <w:sz w:val="24"/>
        </w:rPr>
      </w:pPr>
    </w:p>
    <w:p>
      <w:pPr>
        <w:pStyle w:val="Heading1"/>
        <w:ind w:left="348"/>
      </w:pPr>
      <w:r>
        <w:rPr/>
        <w:t>Informació</w:t>
      </w:r>
      <w:r>
        <w:rPr>
          <w:spacing w:val="-14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publicar</w:t>
      </w:r>
    </w:p>
    <w:p>
      <w:pPr>
        <w:pStyle w:val="BodyText"/>
        <w:spacing w:before="22"/>
        <w:rPr>
          <w:rFonts w:ascii="Arial"/>
          <w:b/>
        </w:rPr>
      </w:pPr>
    </w:p>
    <w:p>
      <w:pPr>
        <w:spacing w:before="0"/>
        <w:ind w:left="328" w:right="113" w:firstLine="0"/>
        <w:jc w:val="both"/>
        <w:rPr>
          <w:sz w:val="22"/>
        </w:rPr>
      </w:pPr>
      <w:r>
        <w:rPr>
          <w:color w:val="000009"/>
          <w:sz w:val="22"/>
        </w:rPr>
        <w:t>Es mostrarà el </w:t>
      </w:r>
      <w:r>
        <w:rPr>
          <w:rFonts w:ascii="Arial" w:hAnsi="Arial"/>
          <w:b/>
          <w:color w:val="000009"/>
          <w:sz w:val="22"/>
        </w:rPr>
        <w:t>calendari de conservació i règim d’accés a la documentació de l’ens</w:t>
      </w:r>
      <w:r>
        <w:rPr>
          <w:color w:val="000009"/>
          <w:sz w:val="22"/>
        </w:rPr>
        <w:t>, un instrument que recull, de manera essencial, els terminis de conservació, transferència i règim d’accés de cada sèrie documental.</w:t>
      </w:r>
    </w:p>
    <w:p>
      <w:pPr>
        <w:pStyle w:val="Heading1"/>
        <w:spacing w:before="240"/>
      </w:pPr>
      <w:r>
        <w:rPr>
          <w:color w:val="000009"/>
          <w:spacing w:val="-2"/>
        </w:rPr>
        <w:t>Explicació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ind w:left="328" w:right="113"/>
        <w:jc w:val="both"/>
      </w:pPr>
      <w:r>
        <w:rPr/>
        <w:t>La Llei 10/2001, de 13 de juliol, d’arxius i gestió de documents i el seu reglament de desenvolupament, el </w:t>
      </w:r>
      <w:hyperlink r:id="rId8">
        <w:r>
          <w:rPr/>
          <w:t>Decret 13/2008, de 22 de gener, sobre accés, avaluació i tria de</w:t>
        </w:r>
      </w:hyperlink>
      <w:r>
        <w:rPr/>
        <w:t> </w:t>
      </w:r>
      <w:hyperlink r:id="rId8">
        <w:r>
          <w:rPr/>
          <w:t>documents</w:t>
        </w:r>
      </w:hyperlink>
      <w:r>
        <w:rPr/>
        <w:t>, regulen aquesta matèria. Aquesta normativa, en els termes que se’n disposa, és d’aplicació a les </w:t>
      </w:r>
      <w:r>
        <w:rPr>
          <w:rFonts w:ascii="Arial" w:hAnsi="Arial"/>
          <w:b/>
        </w:rPr>
        <w:t>administracions locals de Catalunya</w:t>
      </w:r>
      <w:r>
        <w:rPr/>
        <w:t>.</w:t>
      </w:r>
    </w:p>
    <w:p>
      <w:pPr>
        <w:pStyle w:val="BodyText"/>
        <w:spacing w:before="24"/>
      </w:pPr>
    </w:p>
    <w:p>
      <w:pPr>
        <w:pStyle w:val="Heading1"/>
        <w:numPr>
          <w:ilvl w:val="0"/>
          <w:numId w:val="1"/>
        </w:numPr>
        <w:tabs>
          <w:tab w:pos="1049" w:val="left" w:leader="none"/>
        </w:tabs>
        <w:spacing w:line="240" w:lineRule="auto" w:before="0" w:after="0"/>
        <w:ind w:left="1049" w:right="0" w:hanging="360"/>
        <w:jc w:val="left"/>
      </w:pPr>
      <w:r>
        <w:rPr>
          <w:strike w:val="0"/>
          <w:color w:val="006FC0"/>
        </w:rPr>
        <w:t>Què</w:t>
      </w:r>
      <w:r>
        <w:rPr>
          <w:strike w:val="0"/>
          <w:color w:val="006FC0"/>
          <w:spacing w:val="-6"/>
        </w:rPr>
        <w:t> </w:t>
      </w:r>
      <w:r>
        <w:rPr>
          <w:strike w:val="0"/>
          <w:color w:val="006FC0"/>
        </w:rPr>
        <w:t>és</w:t>
      </w:r>
      <w:r>
        <w:rPr>
          <w:strike w:val="0"/>
          <w:color w:val="006FC0"/>
          <w:spacing w:val="-6"/>
        </w:rPr>
        <w:t> </w:t>
      </w:r>
      <w:r>
        <w:rPr>
          <w:strike w:val="0"/>
          <w:color w:val="006FC0"/>
        </w:rPr>
        <w:t>el</w:t>
      </w:r>
      <w:r>
        <w:rPr>
          <w:strike w:val="0"/>
          <w:color w:val="006FC0"/>
          <w:spacing w:val="-4"/>
        </w:rPr>
        <w:t> </w:t>
      </w:r>
      <w:r>
        <w:rPr>
          <w:strike w:val="0"/>
          <w:color w:val="006FC0"/>
        </w:rPr>
        <w:t>calendari</w:t>
      </w:r>
      <w:r>
        <w:rPr>
          <w:strike w:val="0"/>
          <w:color w:val="006FC0"/>
          <w:spacing w:val="-4"/>
        </w:rPr>
        <w:t> </w:t>
      </w:r>
      <w:r>
        <w:rPr>
          <w:strike w:val="0"/>
          <w:color w:val="006FC0"/>
        </w:rPr>
        <w:t>de</w:t>
      </w:r>
      <w:r>
        <w:rPr>
          <w:strike w:val="0"/>
          <w:color w:val="006FC0"/>
          <w:spacing w:val="-5"/>
        </w:rPr>
        <w:t> </w:t>
      </w:r>
      <w:r>
        <w:rPr>
          <w:strike w:val="0"/>
          <w:color w:val="006FC0"/>
        </w:rPr>
        <w:t>conservació</w:t>
      </w:r>
      <w:r>
        <w:rPr>
          <w:strike w:val="0"/>
          <w:color w:val="006FC0"/>
          <w:spacing w:val="-4"/>
        </w:rPr>
        <w:t> </w:t>
      </w:r>
      <w:r>
        <w:rPr>
          <w:strike w:val="0"/>
          <w:color w:val="006FC0"/>
        </w:rPr>
        <w:t>i</w:t>
      </w:r>
      <w:r>
        <w:rPr>
          <w:strike w:val="0"/>
          <w:color w:val="006FC0"/>
          <w:spacing w:val="-3"/>
        </w:rPr>
        <w:t> </w:t>
      </w:r>
      <w:r>
        <w:rPr>
          <w:strike w:val="0"/>
          <w:color w:val="006FC0"/>
        </w:rPr>
        <w:t>règim</w:t>
      </w:r>
      <w:r>
        <w:rPr>
          <w:strike w:val="0"/>
          <w:color w:val="006FC0"/>
          <w:spacing w:val="-3"/>
        </w:rPr>
        <w:t> </w:t>
      </w:r>
      <w:r>
        <w:rPr>
          <w:strike w:val="0"/>
          <w:color w:val="006FC0"/>
        </w:rPr>
        <w:t>d’accés</w:t>
      </w:r>
      <w:r>
        <w:rPr>
          <w:strike w:val="0"/>
          <w:color w:val="006FC0"/>
          <w:spacing w:val="-1"/>
        </w:rPr>
        <w:t> </w:t>
      </w:r>
      <w:r>
        <w:rPr>
          <w:strike w:val="0"/>
          <w:color w:val="006FC0"/>
          <w:spacing w:val="-2"/>
        </w:rPr>
        <w:t>documental?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28" w:right="123"/>
        <w:jc w:val="both"/>
      </w:pPr>
      <w:r>
        <w:rPr/>
        <w:t>De conformitat amb l’art. 7.1 del Decret 13/2008, de 22 de gener, sobre accés, avaluació i tria de documents, tots les documents públics, independentment del suport en què es produeixen, han de ser objecte d’avaluació.</w:t>
      </w:r>
    </w:p>
    <w:p>
      <w:pPr>
        <w:pStyle w:val="BodyText"/>
        <w:spacing w:before="252"/>
        <w:ind w:left="328" w:right="119"/>
        <w:jc w:val="both"/>
      </w:pPr>
      <w:r>
        <w:rPr/>
        <w:t>S’entén</w:t>
      </w:r>
      <w:r>
        <w:rPr>
          <w:spacing w:val="-1"/>
        </w:rPr>
        <w:t> </w:t>
      </w:r>
      <w:r>
        <w:rPr/>
        <w:t>per avaluació la funció destinada</w:t>
      </w:r>
      <w:r>
        <w:rPr>
          <w:spacing w:val="-3"/>
        </w:rPr>
        <w:t> </w:t>
      </w:r>
      <w:r>
        <w:rPr/>
        <w:t>a determinar el</w:t>
      </w:r>
      <w:r>
        <w:rPr>
          <w:spacing w:val="-2"/>
        </w:rPr>
        <w:t> </w:t>
      </w:r>
      <w:r>
        <w:rPr/>
        <w:t>valor cultural, informatiu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jurídic dels documents per tal de decidir-ne sobre la conservació o eliminació (art. 2 del</w:t>
      </w:r>
      <w:r>
        <w:rPr>
          <w:spacing w:val="80"/>
        </w:rPr>
        <w:t> </w:t>
      </w:r>
      <w:r>
        <w:rPr/>
        <w:t>Decret 13/2008, de 22 de gener). Aquesta avaluació determina si els documents són de: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52" w:lineRule="exact" w:before="1" w:after="0"/>
        <w:ind w:left="1061" w:right="0" w:hanging="733"/>
        <w:jc w:val="left"/>
        <w:rPr>
          <w:sz w:val="22"/>
        </w:rPr>
      </w:pPr>
      <w:r>
        <w:rPr>
          <w:sz w:val="22"/>
        </w:rPr>
        <w:t>Conservació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permanent.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52" w:lineRule="exact" w:before="0" w:after="0"/>
        <w:ind w:left="1061" w:right="0" w:hanging="733"/>
        <w:jc w:val="left"/>
        <w:rPr>
          <w:sz w:val="22"/>
        </w:rPr>
      </w:pPr>
      <w:r>
        <w:rPr>
          <w:sz w:val="22"/>
        </w:rPr>
        <w:t>Destrucció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parcial.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40" w:lineRule="auto" w:before="1" w:after="0"/>
        <w:ind w:left="1061" w:right="0" w:hanging="733"/>
        <w:jc w:val="left"/>
        <w:rPr>
          <w:sz w:val="22"/>
        </w:rPr>
      </w:pPr>
      <w:r>
        <w:rPr>
          <w:sz w:val="22"/>
        </w:rPr>
        <w:t>Destrucció</w:t>
      </w:r>
      <w:r>
        <w:rPr>
          <w:spacing w:val="-8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amb</w:t>
      </w:r>
      <w:r>
        <w:rPr>
          <w:spacing w:val="-8"/>
          <w:sz w:val="22"/>
        </w:rPr>
        <w:t> </w:t>
      </w:r>
      <w:r>
        <w:rPr>
          <w:sz w:val="22"/>
        </w:rPr>
        <w:t>mostreig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sense.</w:t>
      </w:r>
    </w:p>
    <w:p>
      <w:pPr>
        <w:pStyle w:val="BodyText"/>
        <w:spacing w:before="251"/>
        <w:ind w:left="328" w:right="116"/>
        <w:jc w:val="both"/>
      </w:pPr>
      <w:r>
        <w:rPr/>
        <w:t>Aquesta avaluació, que es recull en les TAAD, ho realitza la Comissió Nacional d’Accés, Avaluació i Tria Documental (CNAATD) de la Generalitat de Catalunya, òrgan col·legiat de caràcter tècnic, adscrit al Departament de Cultura. La CNAATD proposa l’aprovació de les TAAD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Conseller de</w:t>
      </w:r>
      <w:r>
        <w:rPr>
          <w:spacing w:val="-1"/>
        </w:rPr>
        <w:t> </w:t>
      </w:r>
      <w:r>
        <w:rPr/>
        <w:t>Cultura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Generalitat de</w:t>
      </w:r>
      <w:r>
        <w:rPr>
          <w:spacing w:val="-1"/>
        </w:rPr>
        <w:t> </w:t>
      </w:r>
      <w:r>
        <w:rPr/>
        <w:t>Catalunya</w:t>
      </w:r>
      <w:r>
        <w:rPr>
          <w:spacing w:val="-1"/>
        </w:rPr>
        <w:t> </w:t>
      </w:r>
      <w:r>
        <w:rPr/>
        <w:t>qui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aprova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d’Ordres, el que implica que aquestes disposicions s’incorporen a l’ordenament jurídic. Cal tenir present que cap document públic no pot ser eliminat si no disposa de la corresponent TAAD que ho </w:t>
      </w:r>
      <w:r>
        <w:rPr>
          <w:spacing w:val="-2"/>
        </w:rPr>
        <w:t>autoritzi.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0800" w:h="15600"/>
          <w:pgMar w:header="0" w:footer="603" w:top="1860" w:bottom="800" w:left="720" w:right="360"/>
          <w:pgNumType w:start="1"/>
        </w:sectPr>
      </w:pPr>
    </w:p>
    <w:p>
      <w:pPr>
        <w:pStyle w:val="BodyText"/>
        <w:spacing w:before="166"/>
        <w:ind w:left="328" w:right="120"/>
        <w:jc w:val="both"/>
      </w:pPr>
      <w:r>
        <w:rPr/>
        <w:t>Pel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fa </w:t>
      </w:r>
      <w:r>
        <w:rPr>
          <w:rFonts w:ascii="Arial" w:hAnsi="Arial"/>
          <w:b/>
        </w:rPr>
        <w:t>l’accés </w:t>
      </w:r>
      <w:r>
        <w:rPr/>
        <w:t>la LTC</w:t>
      </w:r>
      <w:r>
        <w:rPr>
          <w:spacing w:val="-1"/>
        </w:rPr>
        <w:t> </w:t>
      </w:r>
      <w:r>
        <w:rPr/>
        <w:t>va introduir canvis en la Llei</w:t>
      </w:r>
      <w:r>
        <w:rPr>
          <w:spacing w:val="-1"/>
        </w:rPr>
        <w:t> </w:t>
      </w:r>
      <w:r>
        <w:rPr/>
        <w:t>d’arxius i gestió de documents. Aquests canvis han estat recollits, principalment, en els articles 5, 34 i 35 de la Llei 10/2001, de 13 de juliol. Els esmentats articles, junt amb la LTC, impliquen les obligacions següents: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1049" w:right="118" w:hanging="360"/>
        <w:jc w:val="both"/>
        <w:rPr>
          <w:sz w:val="22"/>
        </w:rPr>
      </w:pPr>
      <w:r>
        <w:rPr>
          <w:sz w:val="22"/>
        </w:rPr>
        <w:t>Les persones tenen dret a accedir als documents públics en el termes i amb les condicions establertes per LTC i la resta de normativa que sigui aplicable (art. 34 Llei </w:t>
      </w:r>
      <w:r>
        <w:rPr>
          <w:spacing w:val="-2"/>
          <w:sz w:val="22"/>
        </w:rPr>
        <w:t>10/2001).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1049" w:right="113" w:hanging="360"/>
        <w:jc w:val="both"/>
        <w:rPr>
          <w:sz w:val="22"/>
        </w:rPr>
      </w:pPr>
      <w:r>
        <w:rPr>
          <w:sz w:val="22"/>
        </w:rPr>
        <w:t>Les administracions públiques han d’adoptar les mesures organitzatives necessàries per garantir el compliment del dret d’accés, que inclou qualsevol</w:t>
      </w:r>
      <w:r>
        <w:rPr>
          <w:spacing w:val="-1"/>
          <w:sz w:val="22"/>
        </w:rPr>
        <w:t> </w:t>
      </w:r>
      <w:r>
        <w:rPr>
          <w:sz w:val="22"/>
        </w:rPr>
        <w:t>forma o suport en</w:t>
      </w:r>
      <w:r>
        <w:rPr>
          <w:spacing w:val="-2"/>
          <w:sz w:val="22"/>
        </w:rPr>
        <w:t> </w:t>
      </w:r>
      <w:r>
        <w:rPr>
          <w:sz w:val="22"/>
        </w:rPr>
        <w:t>què aquesta informació hagi estat elaborada o es conservi (art. 19 LTC).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1049" w:right="114" w:hanging="360"/>
        <w:jc w:val="both"/>
        <w:rPr>
          <w:sz w:val="22"/>
        </w:rPr>
      </w:pPr>
      <w:r>
        <w:rPr>
          <w:sz w:val="22"/>
        </w:rPr>
        <w:t>En aquest sentit, les administracions públiques han de dotar-se d’un sistema d’informació comú i interoperable que garanteixi el tractament de la documentació i compleixi la finalitat de posar-los a l’abast dels usuaris i dels ciutadans (art. 5 Llei </w:t>
      </w:r>
      <w:r>
        <w:rPr>
          <w:spacing w:val="-2"/>
          <w:sz w:val="22"/>
        </w:rPr>
        <w:t>10/2001).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1049" w:right="113" w:hanging="360"/>
        <w:jc w:val="both"/>
        <w:rPr>
          <w:sz w:val="22"/>
        </w:rPr>
      </w:pPr>
      <w:r>
        <w:rPr>
          <w:sz w:val="22"/>
        </w:rPr>
        <w:t>Amb finalitat que els usuaris puguin localitzar i identificar els documents i hi puguin accedir, els arxius del Sistema d’Arxius de Catalunya han</w:t>
      </w:r>
      <w:r>
        <w:rPr>
          <w:spacing w:val="77"/>
          <w:sz w:val="22"/>
        </w:rPr>
        <w:t> </w:t>
      </w:r>
      <w:r>
        <w:rPr>
          <w:sz w:val="22"/>
        </w:rPr>
        <w:t>fer públiques les limitacions a la consulta de documents custodiats i informar de la data en què els documents són accessibles i informar els usuaris del dret a reclamar i els procediments que han de seguir en el supòsit que el dret d’accés els sigui denegat. Informació que ha de poder ésser consultada en el portal de la transparència i en la seu electrònica o lloc web de l’organisme titular del servei d’arxiu i gestió documental (art. 35 Llei 10/2001).</w:t>
      </w:r>
    </w:p>
    <w:p>
      <w:pPr>
        <w:pStyle w:val="BodyText"/>
        <w:spacing w:before="247"/>
        <w:ind w:left="328"/>
        <w:jc w:val="both"/>
      </w:pPr>
      <w:r>
        <w:rPr/>
        <w:t>Podeu</w:t>
      </w:r>
      <w:r>
        <w:rPr>
          <w:spacing w:val="-5"/>
        </w:rPr>
        <w:t> </w:t>
      </w:r>
      <w:r>
        <w:rPr/>
        <w:t>trobar</w:t>
      </w:r>
      <w:r>
        <w:rPr>
          <w:spacing w:val="-6"/>
        </w:rPr>
        <w:t> </w:t>
      </w:r>
      <w:r>
        <w:rPr/>
        <w:t>més</w:t>
      </w:r>
      <w:r>
        <w:rPr>
          <w:spacing w:val="-6"/>
        </w:rPr>
        <w:t> </w:t>
      </w:r>
      <w:r>
        <w:rPr/>
        <w:t>informació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aquest </w:t>
      </w:r>
      <w:hyperlink r:id="rId9">
        <w:r>
          <w:rPr>
            <w:color w:val="0000FF"/>
            <w:spacing w:val="-2"/>
            <w:u w:val="single" w:color="0000FF"/>
          </w:rPr>
          <w:t>enllaç</w:t>
        </w:r>
      </w:hyperlink>
      <w:r>
        <w:rPr>
          <w:spacing w:val="-2"/>
        </w:rPr>
        <w:t>.</w:t>
      </w:r>
    </w:p>
    <w:p>
      <w:pPr>
        <w:pStyle w:val="BodyText"/>
        <w:spacing w:before="250"/>
      </w:pPr>
    </w:p>
    <w:p>
      <w:pPr>
        <w:pStyle w:val="Heading1"/>
      </w:pPr>
      <w:r>
        <w:rPr/>
        <w:t>On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troba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informació?</w:t>
      </w:r>
    </w:p>
    <w:p>
      <w:pPr>
        <w:pStyle w:val="BodyText"/>
        <w:spacing w:before="24"/>
        <w:rPr>
          <w:rFonts w:ascii="Arial"/>
          <w:b/>
        </w:rPr>
      </w:pPr>
    </w:p>
    <w:p>
      <w:pPr>
        <w:spacing w:before="0"/>
        <w:ind w:left="345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Taules</w:t>
      </w:r>
      <w:r>
        <w:rPr>
          <w:spacing w:val="-6"/>
          <w:sz w:val="20"/>
        </w:rPr>
        <w:t> </w:t>
      </w:r>
      <w:r>
        <w:rPr>
          <w:sz w:val="20"/>
        </w:rPr>
        <w:t>d’Avaluació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Accés</w:t>
      </w:r>
      <w:r>
        <w:rPr>
          <w:spacing w:val="-6"/>
          <w:sz w:val="20"/>
        </w:rPr>
        <w:t> </w:t>
      </w:r>
      <w:r>
        <w:rPr>
          <w:sz w:val="20"/>
        </w:rPr>
        <w:t>Documental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(TAAD).</w: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ind w:left="340"/>
      </w:pPr>
      <w:r>
        <w:rPr/>
        <w:t>Cercador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TAAD</w:t>
      </w:r>
      <w:r>
        <w:rPr>
          <w:color w:val="76923B"/>
        </w:rPr>
        <w:t>:</w:t>
      </w:r>
      <w:r>
        <w:rPr>
          <w:color w:val="76923B"/>
          <w:spacing w:val="-2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http://taad.cultura.gencat.cat/</w:t>
        </w:r>
      </w:hyperlink>
    </w:p>
    <w:p>
      <w:pPr>
        <w:pStyle w:val="BodyText"/>
        <w:spacing w:before="226"/>
      </w:pPr>
    </w:p>
    <w:p>
      <w:pPr>
        <w:pStyle w:val="Heading1"/>
        <w:ind w:left="345"/>
      </w:pPr>
      <w:r>
        <w:rPr/>
        <w:t>Tipus</w:t>
      </w:r>
      <w:r>
        <w:rPr>
          <w:spacing w:val="-8"/>
        </w:rPr>
        <w:t> </w:t>
      </w:r>
      <w:r>
        <w:rPr>
          <w:spacing w:val="-2"/>
        </w:rPr>
        <w:t>d’ítem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328"/>
      </w:pPr>
      <w:r>
        <w:rPr>
          <w:spacing w:val="-2"/>
        </w:rPr>
        <w:t>Manual.</w:t>
      </w:r>
    </w:p>
    <w:p>
      <w:pPr>
        <w:pStyle w:val="BodyText"/>
        <w:spacing w:before="250"/>
      </w:pPr>
    </w:p>
    <w:p>
      <w:pPr>
        <w:pStyle w:val="Heading1"/>
      </w:pPr>
      <w:r>
        <w:rPr>
          <w:spacing w:val="-4"/>
        </w:rPr>
        <w:t>Font</w:t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ind w:left="328"/>
      </w:pPr>
      <w:r>
        <w:rPr/>
        <w:t>Propi</w:t>
      </w:r>
      <w:r>
        <w:rPr>
          <w:spacing w:val="-3"/>
        </w:rPr>
        <w:t> </w:t>
      </w:r>
      <w:r>
        <w:rPr>
          <w:spacing w:val="-4"/>
        </w:rPr>
        <w:t>ens.</w:t>
      </w:r>
    </w:p>
    <w:p>
      <w:pPr>
        <w:pStyle w:val="BodyText"/>
        <w:spacing w:after="0"/>
        <w:sectPr>
          <w:pgSz w:w="10800" w:h="15600"/>
          <w:pgMar w:header="0" w:footer="603" w:top="1860" w:bottom="800" w:left="720" w:right="360"/>
        </w:sectPr>
      </w:pPr>
    </w:p>
    <w:p>
      <w:pPr>
        <w:pStyle w:val="Heading1"/>
        <w:spacing w:before="166"/>
        <w:ind w:left="348"/>
      </w:pPr>
      <w:r>
        <w:rPr>
          <w:spacing w:val="-2"/>
        </w:rPr>
        <w:t>Dades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203" w:after="0"/>
        <w:ind w:left="1061" w:right="0" w:hanging="360"/>
        <w:jc w:val="left"/>
        <w:rPr>
          <w:sz w:val="22"/>
        </w:rPr>
      </w:pPr>
      <w:r>
        <w:rPr>
          <w:sz w:val="22"/>
        </w:rPr>
        <w:t>Codi</w:t>
      </w:r>
      <w:r>
        <w:rPr>
          <w:spacing w:val="-4"/>
          <w:sz w:val="22"/>
        </w:rPr>
        <w:t> TAAD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pacing w:val="-4"/>
          <w:sz w:val="22"/>
        </w:rPr>
        <w:t>Ordre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9" w:lineRule="exact" w:before="0" w:after="0"/>
        <w:ind w:left="1061" w:right="0" w:hanging="360"/>
        <w:jc w:val="left"/>
        <w:rPr>
          <w:sz w:val="22"/>
        </w:rPr>
      </w:pPr>
      <w:r>
        <w:rPr>
          <w:spacing w:val="-4"/>
          <w:sz w:val="22"/>
        </w:rPr>
        <w:t>DOGC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z w:val="22"/>
        </w:rPr>
        <w:t>Títol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sèrie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documental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z w:val="22"/>
        </w:rPr>
        <w:t>Codi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classificació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pacing w:val="-2"/>
          <w:sz w:val="22"/>
        </w:rPr>
        <w:t>Disposició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pacing w:val="-2"/>
          <w:sz w:val="22"/>
        </w:rPr>
        <w:t>Termini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z w:val="22"/>
        </w:rPr>
        <w:t>Organisme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productor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z w:val="22"/>
        </w:rPr>
        <w:t>Règim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d’accés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9" w:lineRule="exact" w:before="0" w:after="0"/>
        <w:ind w:left="1061" w:right="0" w:hanging="360"/>
        <w:jc w:val="left"/>
        <w:rPr>
          <w:sz w:val="22"/>
        </w:rPr>
      </w:pPr>
      <w:r>
        <w:rPr>
          <w:spacing w:val="-2"/>
          <w:sz w:val="22"/>
        </w:rPr>
        <w:t>Motivació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z w:val="22"/>
        </w:rPr>
        <w:t>Vigència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restricció</w:t>
      </w: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68" w:lineRule="exact" w:before="0" w:after="0"/>
        <w:ind w:left="1061" w:right="0" w:hanging="360"/>
        <w:jc w:val="left"/>
        <w:rPr>
          <w:sz w:val="22"/>
        </w:rPr>
      </w:pPr>
      <w:r>
        <w:rPr>
          <w:sz w:val="22"/>
        </w:rPr>
        <w:t>Fonamentació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jurídica.</w:t>
      </w:r>
    </w:p>
    <w:p>
      <w:pPr>
        <w:pStyle w:val="BodyText"/>
      </w:pPr>
    </w:p>
    <w:p>
      <w:pPr>
        <w:pStyle w:val="BodyText"/>
        <w:spacing w:before="237"/>
      </w:pPr>
    </w:p>
    <w:p>
      <w:pPr>
        <w:spacing w:before="0"/>
        <w:ind w:left="473" w:right="0" w:firstLine="0"/>
        <w:jc w:val="left"/>
        <w:rPr>
          <w:rFonts w:ascii="Arial" w:hAnsi="Arial"/>
          <w:b/>
          <w:sz w:val="22"/>
        </w:rPr>
      </w:pPr>
      <w:hyperlink r:id="rId11">
        <w:r>
          <w:rPr>
            <w:rFonts w:ascii="Arial" w:hAnsi="Arial"/>
            <w:b/>
            <w:color w:val="0000FF"/>
            <w:sz w:val="22"/>
            <w:u w:val="single" w:color="0000FF"/>
          </w:rPr>
          <w:t>Ítems</w:t>
        </w:r>
        <w:r>
          <w:rPr>
            <w:rFonts w:ascii="Arial" w:hAnsi="Arial"/>
            <w:b/>
            <w:color w:val="0000FF"/>
            <w:spacing w:val="-2"/>
            <w:sz w:val="22"/>
            <w:u w:val="single" w:color="0000FF"/>
          </w:rPr>
          <w:t> relacionats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9"/>
        <w:rPr>
          <w:rFonts w:ascii="Arial"/>
          <w:b/>
        </w:rPr>
      </w:pPr>
    </w:p>
    <w:p>
      <w:pPr>
        <w:spacing w:before="0"/>
        <w:ind w:left="5137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Data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d’actualització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9"/>
          <w:sz w:val="22"/>
        </w:rPr>
        <w:t> </w:t>
      </w:r>
      <w:r>
        <w:rPr>
          <w:sz w:val="22"/>
        </w:rPr>
        <w:t>d’octubre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2018</w:t>
      </w:r>
    </w:p>
    <w:sectPr>
      <w:pgSz w:w="10800" w:h="15600"/>
      <w:pgMar w:header="0" w:footer="603" w:top="1860" w:bottom="80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0</wp:posOffset>
              </wp:positionH>
              <wp:positionV relativeFrom="page">
                <wp:posOffset>9345295</wp:posOffset>
              </wp:positionV>
              <wp:extent cx="6858000" cy="56007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58000" cy="560070"/>
                        <a:chExt cx="6858000" cy="560070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149224"/>
                          <a:ext cx="1002791" cy="2651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58000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6007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560070"/>
                              </a:lnTo>
                              <a:lnTo>
                                <a:pt x="6858000" y="56007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5279" y="149224"/>
                          <a:ext cx="1002791" cy="2651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35.850037pt;width:540pt;height:44.1pt;mso-position-horizontal-relative:page;mso-position-vertical-relative:page;z-index:-15800832" id="docshapegroup6" coordorigin="0,14717" coordsize="10800,882">
              <v:shape style="position:absolute;left:528;top:14952;width:1580;height:418" type="#_x0000_t75" id="docshape7" stroked="false">
                <v:imagedata r:id="rId1" o:title=""/>
              </v:shape>
              <v:rect style="position:absolute;left:0;top:14717;width:10800;height:882" id="docshape8" filled="true" fillcolor="#c00000" stroked="false">
                <v:fill type="solid"/>
              </v:rect>
              <v:shape style="position:absolute;left:528;top:14952;width:1580;height:418" type="#_x0000_t75" id="docshape9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6431279</wp:posOffset>
              </wp:positionH>
              <wp:positionV relativeFrom="page">
                <wp:posOffset>9505400</wp:posOffset>
              </wp:positionV>
              <wp:extent cx="173990" cy="1962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399994pt;margin-top:748.456726pt;width:13.7pt;height:15.45pt;mso-position-horizontal-relative:page;mso-position-vertical-relative:page;z-index:-15800320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2538</wp:posOffset>
              </wp:positionH>
              <wp:positionV relativeFrom="page">
                <wp:posOffset>-990</wp:posOffset>
              </wp:positionV>
              <wp:extent cx="6858000" cy="10191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19175"/>
                        <a:chExt cx="6858000" cy="10191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971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7155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971524"/>
                              </a:lnTo>
                              <a:lnTo>
                                <a:pt x="6858000" y="97152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54320" y="288010"/>
                          <a:ext cx="90805" cy="730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730885">
                              <a:moveTo>
                                <a:pt x="90804" y="0"/>
                              </a:moveTo>
                              <a:lnTo>
                                <a:pt x="0" y="0"/>
                              </a:lnTo>
                              <a:lnTo>
                                <a:pt x="0" y="730884"/>
                              </a:lnTo>
                              <a:lnTo>
                                <a:pt x="90804" y="730884"/>
                              </a:lnTo>
                              <a:lnTo>
                                <a:pt x="90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19992pt;margin-top:-.078pt;width:540pt;height:80.25pt;mso-position-horizontal-relative:page;mso-position-vertical-relative:page;z-index:-15802368" id="docshapegroup1" coordorigin="4,-2" coordsize="10800,1605">
              <v:rect style="position:absolute;left:4;top:-2;width:10800;height:1530" id="docshape2" filled="true" fillcolor="#c00000" stroked="false">
                <v:fill type="solid"/>
              </v:rect>
              <v:rect style="position:absolute;left:8436;top:452;width:143;height:1151" id="docshape3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5570982</wp:posOffset>
              </wp:positionH>
              <wp:positionV relativeFrom="page">
                <wp:posOffset>352784</wp:posOffset>
              </wp:positionV>
              <wp:extent cx="637540" cy="6197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37540" cy="619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4"/>
                              <w:sz w:val="40"/>
                            </w:rPr>
                            <w:t>Ítem</w:t>
                          </w:r>
                        </w:p>
                        <w:p>
                          <w:pPr>
                            <w:spacing w:before="75"/>
                            <w:ind w:left="183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36"/>
                            </w:rPr>
                            <w:t>2.4.1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8.660004pt;margin-top:27.77832pt;width:50.2pt;height:48.8pt;mso-position-horizontal-relative:page;mso-position-vertical-relative:page;z-index:-15801856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4"/>
                        <w:sz w:val="40"/>
                      </w:rPr>
                      <w:t>Ítem</w:t>
                    </w:r>
                  </w:p>
                  <w:p>
                    <w:pPr>
                      <w:spacing w:before="75"/>
                      <w:ind w:left="183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36"/>
                      </w:rPr>
                      <w:t>2.4.1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203708</wp:posOffset>
              </wp:positionH>
              <wp:positionV relativeFrom="page">
                <wp:posOffset>376238</wp:posOffset>
              </wp:positionV>
              <wp:extent cx="4284345" cy="2813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28434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36"/>
                            </w:rPr>
                            <w:t>Grup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8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36"/>
                            </w:rPr>
                            <w:t>Treball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36"/>
                            </w:rPr>
                            <w:t>Transparència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36"/>
                            </w:rPr>
                            <w:t>Local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.040001pt;margin-top:29.625078pt;width:337.35pt;height:22.15pt;mso-position-horizontal-relative:page;mso-position-vertical-relative:page;z-index:-15801344" type="#_x0000_t202" id="docshape5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36"/>
                      </w:rPr>
                      <w:t>Grup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8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7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6"/>
                      </w:rPr>
                      <w:t>Treball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7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6"/>
                      </w:rPr>
                      <w:t>Transparència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6"/>
                        <w:sz w:val="3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36"/>
                      </w:rPr>
                      <w:t>Local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61" w:hanging="73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"/>
      <w:lvlJc w:val="left"/>
      <w:pPr>
        <w:ind w:left="104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984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833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49" w:hanging="360"/>
      </w:pPr>
      <w:rPr>
        <w:rFonts w:hint="default" w:ascii="Symbol" w:hAnsi="Symbol" w:eastAsia="Symbol" w:cs="Symbol"/>
        <w:b w:val="0"/>
        <w:bCs w:val="0"/>
        <w:i w:val="0"/>
        <w:iCs w:val="0"/>
        <w:strike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328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1061" w:hanging="360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portaljuridic.gencat.cat/ca/pjur_ocults/pjur_resultats_fitxa/?action=fitxa&amp;mode=single&amp;documentId=680124&amp;language=ca_ES" TargetMode="External"/><Relationship Id="rId8" Type="http://schemas.openxmlformats.org/officeDocument/2006/relationships/hyperlink" Target="http://dogc.gencat.cat/ca/pdogc_canals_interns/pdogc_resultats_fitxa/?documentId=475134&amp;language=ca_ES&amp;action=fitxa" TargetMode="External"/><Relationship Id="rId9" Type="http://schemas.openxmlformats.org/officeDocument/2006/relationships/hyperlink" Target="http://cultura.gencat.cat/ca/departament/estructura_i_adreces/organismes/dgpc/temes/arxius_i_gestio_documental/cnaatd/normativa_legal_acords_i_resolucions/" TargetMode="External"/><Relationship Id="rId10" Type="http://schemas.openxmlformats.org/officeDocument/2006/relationships/hyperlink" Target="http://taad.cultura.gencat.cat/" TargetMode="External"/><Relationship Id="rId11" Type="http://schemas.openxmlformats.org/officeDocument/2006/relationships/hyperlink" Target="http://municat.gencat.cat/ca/Temes/Transparencia/Items-de-transparencia/relacionats-grup2/#2-4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2026-06-05T06:48:50Z</dcterms:created>
  <dcterms:modified xsi:type="dcterms:W3CDTF">2026-06-05T06:48:50Z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LastSaved">
    <vt:filetime>2026-06-05T00:00:00Z</vt:filetime>
  </property>
</Properties>
</file>