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59" w:type="dxa"/>
        <w:jc w:val="center"/>
        <w:tblLayout w:type="fixed"/>
        <w:tblCellMar>
          <w:left w:w="10" w:type="dxa"/>
          <w:right w:w="10" w:type="dxa"/>
        </w:tblCellMar>
        <w:tblLook w:val="04A0" w:firstRow="1" w:lastRow="0" w:firstColumn="1" w:lastColumn="0" w:noHBand="0" w:noVBand="1"/>
      </w:tblPr>
      <w:tblGrid>
        <w:gridCol w:w="2694"/>
        <w:gridCol w:w="1134"/>
        <w:gridCol w:w="1842"/>
        <w:gridCol w:w="1701"/>
        <w:gridCol w:w="7088"/>
      </w:tblGrid>
      <w:tr w:rsidR="00F207E7" w:rsidRPr="004411D1" w:rsidTr="001B682E">
        <w:trPr>
          <w:trHeight w:val="337"/>
          <w:jc w:val="center"/>
        </w:trPr>
        <w:tc>
          <w:tcPr>
            <w:tcW w:w="14459" w:type="dxa"/>
            <w:gridSpan w:val="5"/>
            <w:tcBorders>
              <w:bottom w:val="single" w:sz="4" w:space="0" w:color="000000"/>
            </w:tcBorders>
            <w:shd w:val="clear" w:color="auto" w:fill="008000"/>
            <w:tcMar>
              <w:top w:w="0" w:type="dxa"/>
              <w:left w:w="70" w:type="dxa"/>
              <w:bottom w:w="0" w:type="dxa"/>
              <w:right w:w="70" w:type="dxa"/>
            </w:tcMar>
            <w:vAlign w:val="center"/>
          </w:tcPr>
          <w:p w:rsidR="00F207E7" w:rsidRDefault="00CD0DEA">
            <w:pPr>
              <w:pStyle w:val="Standard"/>
              <w:ind w:right="-573"/>
              <w:jc w:val="center"/>
              <w:rPr>
                <w:b/>
                <w:color w:val="FFFFFF"/>
                <w:lang w:val="ca-ES"/>
              </w:rPr>
            </w:pPr>
            <w:bookmarkStart w:id="0" w:name="_Hlk175571678"/>
            <w:r>
              <w:rPr>
                <w:b/>
                <w:color w:val="FFFFFF"/>
                <w:lang w:val="ca-ES"/>
              </w:rPr>
              <w:t>MODIFICACIONS, ANUL·LACIONS I DESISTIMENTS DE CONTRACTES</w:t>
            </w:r>
          </w:p>
        </w:tc>
      </w:tr>
      <w:tr w:rsidR="00F207E7" w:rsidTr="00731DC8">
        <w:trPr>
          <w:cantSplit/>
          <w:trHeight w:hRule="exact" w:val="708"/>
          <w:jc w:val="center"/>
        </w:trPr>
        <w:tc>
          <w:tcPr>
            <w:tcW w:w="2694" w:type="dxa"/>
            <w:tcBorders>
              <w:top w:val="single" w:sz="4" w:space="0" w:color="000000"/>
              <w:left w:val="single" w:sz="4" w:space="0" w:color="000000"/>
              <w:bottom w:val="single" w:sz="4" w:space="0" w:color="000000"/>
            </w:tcBorders>
            <w:shd w:val="clear" w:color="auto" w:fill="99CC00"/>
            <w:tcMar>
              <w:top w:w="0" w:type="dxa"/>
              <w:left w:w="108" w:type="dxa"/>
              <w:bottom w:w="0" w:type="dxa"/>
              <w:right w:w="108" w:type="dxa"/>
            </w:tcMar>
            <w:vAlign w:val="center"/>
          </w:tcPr>
          <w:p w:rsidR="00F207E7" w:rsidRPr="004411D1" w:rsidRDefault="00CD0DEA" w:rsidP="004411D1">
            <w:pPr>
              <w:pStyle w:val="Standard"/>
              <w:spacing w:line="276" w:lineRule="auto"/>
              <w:jc w:val="center"/>
              <w:rPr>
                <w:sz w:val="20"/>
              </w:rPr>
            </w:pPr>
            <w:r w:rsidRPr="004411D1">
              <w:rPr>
                <w:b/>
                <w:color w:val="FFFFFF"/>
                <w:sz w:val="20"/>
                <w:szCs w:val="20"/>
                <w:lang w:val="ca-ES"/>
              </w:rPr>
              <w:t>DENOMINACIÓ DEL CONTRACTE</w:t>
            </w:r>
          </w:p>
        </w:tc>
        <w:tc>
          <w:tcPr>
            <w:tcW w:w="1134" w:type="dxa"/>
            <w:tcBorders>
              <w:top w:val="single" w:sz="4" w:space="0" w:color="000000"/>
              <w:left w:val="single" w:sz="4" w:space="0" w:color="000000"/>
              <w:bottom w:val="single" w:sz="4" w:space="0" w:color="000000"/>
            </w:tcBorders>
            <w:shd w:val="clear" w:color="auto" w:fill="99CC00"/>
            <w:tcMar>
              <w:top w:w="0" w:type="dxa"/>
              <w:left w:w="108" w:type="dxa"/>
              <w:bottom w:w="0" w:type="dxa"/>
              <w:right w:w="108" w:type="dxa"/>
            </w:tcMar>
            <w:vAlign w:val="center"/>
          </w:tcPr>
          <w:p w:rsidR="00F207E7" w:rsidRPr="004411D1" w:rsidRDefault="00CD0DEA" w:rsidP="004411D1">
            <w:pPr>
              <w:pStyle w:val="Standard"/>
              <w:spacing w:line="276" w:lineRule="auto"/>
              <w:jc w:val="center"/>
              <w:rPr>
                <w:b/>
                <w:color w:val="FFFFFF"/>
                <w:sz w:val="20"/>
                <w:szCs w:val="20"/>
                <w:lang w:val="ca-ES"/>
              </w:rPr>
            </w:pPr>
            <w:r w:rsidRPr="004411D1">
              <w:rPr>
                <w:b/>
                <w:color w:val="FFFFFF"/>
                <w:sz w:val="20"/>
                <w:szCs w:val="20"/>
                <w:lang w:val="ca-ES"/>
              </w:rPr>
              <w:t>TIPUS</w:t>
            </w:r>
          </w:p>
        </w:tc>
        <w:tc>
          <w:tcPr>
            <w:tcW w:w="1842" w:type="dxa"/>
            <w:tcBorders>
              <w:top w:val="single" w:sz="4" w:space="0" w:color="000000"/>
              <w:left w:val="single" w:sz="4" w:space="0" w:color="000000"/>
              <w:bottom w:val="single" w:sz="4" w:space="0" w:color="000000"/>
            </w:tcBorders>
            <w:shd w:val="clear" w:color="auto" w:fill="99CC00"/>
            <w:tcMar>
              <w:top w:w="0" w:type="dxa"/>
              <w:left w:w="108" w:type="dxa"/>
              <w:bottom w:w="0" w:type="dxa"/>
              <w:right w:w="108" w:type="dxa"/>
            </w:tcMar>
            <w:vAlign w:val="center"/>
          </w:tcPr>
          <w:p w:rsidR="00F207E7" w:rsidRPr="004411D1" w:rsidRDefault="00CD0DEA" w:rsidP="004411D1">
            <w:pPr>
              <w:pStyle w:val="Standard"/>
              <w:spacing w:line="276" w:lineRule="auto"/>
              <w:jc w:val="center"/>
              <w:rPr>
                <w:sz w:val="20"/>
                <w:lang w:val="ca-ES"/>
              </w:rPr>
            </w:pPr>
            <w:r w:rsidRPr="004411D1">
              <w:rPr>
                <w:b/>
                <w:color w:val="FFFFFF"/>
                <w:sz w:val="20"/>
                <w:szCs w:val="20"/>
                <w:lang w:val="ca-ES"/>
              </w:rPr>
              <w:t>ADJUDICATA</w:t>
            </w:r>
            <w:r w:rsidR="004411D1" w:rsidRPr="004411D1">
              <w:rPr>
                <w:b/>
                <w:color w:val="FFFFFF"/>
                <w:sz w:val="20"/>
                <w:szCs w:val="20"/>
                <w:lang w:val="ca-ES"/>
              </w:rPr>
              <w:t>RI</w:t>
            </w:r>
          </w:p>
        </w:tc>
        <w:tc>
          <w:tcPr>
            <w:tcW w:w="1701" w:type="dxa"/>
            <w:tcBorders>
              <w:top w:val="single" w:sz="4" w:space="0" w:color="000000"/>
              <w:left w:val="single" w:sz="4" w:space="0" w:color="000000"/>
              <w:bottom w:val="single" w:sz="4" w:space="0" w:color="000000"/>
            </w:tcBorders>
            <w:shd w:val="clear" w:color="auto" w:fill="99CC00"/>
            <w:tcMar>
              <w:top w:w="0" w:type="dxa"/>
              <w:left w:w="108" w:type="dxa"/>
              <w:bottom w:w="0" w:type="dxa"/>
              <w:right w:w="108" w:type="dxa"/>
            </w:tcMar>
            <w:vAlign w:val="center"/>
          </w:tcPr>
          <w:p w:rsidR="00F207E7" w:rsidRPr="004411D1" w:rsidRDefault="00CD0DEA" w:rsidP="004411D1">
            <w:pPr>
              <w:pStyle w:val="Standard"/>
              <w:spacing w:line="276" w:lineRule="auto"/>
              <w:jc w:val="center"/>
              <w:rPr>
                <w:b/>
                <w:color w:val="FFFFFF"/>
                <w:sz w:val="20"/>
                <w:szCs w:val="20"/>
                <w:lang w:val="ca-ES"/>
              </w:rPr>
            </w:pPr>
            <w:r w:rsidRPr="004411D1">
              <w:rPr>
                <w:b/>
                <w:color w:val="FFFFFF"/>
                <w:sz w:val="20"/>
                <w:szCs w:val="20"/>
                <w:lang w:val="ca-ES"/>
              </w:rPr>
              <w:t>DATA MODIFICACIÓ</w:t>
            </w:r>
          </w:p>
        </w:tc>
        <w:tc>
          <w:tcPr>
            <w:tcW w:w="7088" w:type="dxa"/>
            <w:tcBorders>
              <w:top w:val="single" w:sz="4" w:space="0" w:color="000000"/>
              <w:left w:val="single" w:sz="4" w:space="0" w:color="000000"/>
              <w:bottom w:val="single" w:sz="4" w:space="0" w:color="000000"/>
              <w:right w:val="single" w:sz="4" w:space="0" w:color="000000"/>
            </w:tcBorders>
            <w:shd w:val="clear" w:color="auto" w:fill="99CC00"/>
            <w:tcMar>
              <w:top w:w="0" w:type="dxa"/>
              <w:left w:w="108" w:type="dxa"/>
              <w:bottom w:w="0" w:type="dxa"/>
              <w:right w:w="108" w:type="dxa"/>
            </w:tcMar>
            <w:vAlign w:val="center"/>
          </w:tcPr>
          <w:p w:rsidR="00F207E7" w:rsidRPr="004411D1" w:rsidRDefault="00CD0DEA" w:rsidP="004411D1">
            <w:pPr>
              <w:pStyle w:val="Standard"/>
              <w:spacing w:line="276" w:lineRule="auto"/>
              <w:jc w:val="center"/>
              <w:rPr>
                <w:b/>
                <w:color w:val="FFFFFF"/>
                <w:sz w:val="20"/>
                <w:szCs w:val="20"/>
                <w:lang w:val="ca-ES"/>
              </w:rPr>
            </w:pPr>
            <w:r w:rsidRPr="004411D1">
              <w:rPr>
                <w:b/>
                <w:color w:val="FFFFFF"/>
                <w:sz w:val="20"/>
                <w:szCs w:val="20"/>
                <w:lang w:val="ca-ES"/>
              </w:rPr>
              <w:t>CONTINGUT DE LA MODIFICACIÓ</w:t>
            </w:r>
          </w:p>
        </w:tc>
      </w:tr>
      <w:tr w:rsidR="00822030" w:rsidTr="00731DC8">
        <w:trPr>
          <w:cantSplit/>
          <w:trHeight w:val="679"/>
          <w:jc w:val="center"/>
        </w:trPr>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22030" w:rsidRPr="00FD7F62" w:rsidRDefault="00822030" w:rsidP="001B682E">
            <w:pPr>
              <w:widowControl/>
              <w:suppressAutoHyphens w:val="0"/>
              <w:autoSpaceDE w:val="0"/>
              <w:adjustRightInd w:val="0"/>
              <w:jc w:val="both"/>
              <w:textAlignment w:val="auto"/>
              <w:rPr>
                <w:rFonts w:ascii="Arial-BoldMT" w:hAnsi="Arial-BoldMT" w:cs="Arial-BoldMT"/>
                <w:b/>
                <w:bCs/>
                <w:kern w:val="0"/>
                <w:sz w:val="19"/>
                <w:szCs w:val="19"/>
                <w:lang w:bidi="ar-SA"/>
              </w:rPr>
            </w:pPr>
            <w:r w:rsidRPr="00822030">
              <w:rPr>
                <w:rFonts w:ascii="Arial-BoldMT" w:hAnsi="Arial-BoldMT" w:cs="Arial-BoldMT"/>
                <w:b/>
                <w:bCs/>
                <w:kern w:val="0"/>
                <w:sz w:val="19"/>
                <w:szCs w:val="19"/>
                <w:lang w:bidi="ar-SA"/>
              </w:rPr>
              <w:t>MODIFICACIÓ DEL CONTRACTE</w:t>
            </w:r>
            <w:r>
              <w:rPr>
                <w:rFonts w:ascii="Arial-BoldMT" w:hAnsi="Arial-BoldMT" w:cs="Arial-BoldMT"/>
                <w:b/>
                <w:bCs/>
                <w:kern w:val="0"/>
                <w:sz w:val="19"/>
                <w:szCs w:val="19"/>
                <w:lang w:bidi="ar-SA"/>
              </w:rPr>
              <w:t xml:space="preserve">, del servei </w:t>
            </w:r>
            <w:r w:rsidRPr="00822030">
              <w:rPr>
                <w:rFonts w:ascii="Arial-BoldMT" w:hAnsi="Arial-BoldMT" w:cs="Arial-BoldMT"/>
                <w:b/>
                <w:bCs/>
                <w:kern w:val="0"/>
                <w:sz w:val="19"/>
                <w:szCs w:val="19"/>
                <w:lang w:bidi="ar-SA"/>
              </w:rPr>
              <w:t>de redacció del projecte bàsic i executiu i posterior direcció d’obres d’urbanització de la zona verda del Parc del Botafoc</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22030" w:rsidRPr="00FD7F62" w:rsidRDefault="00822030">
            <w:pPr>
              <w:pStyle w:val="Standard"/>
              <w:jc w:val="center"/>
              <w:rPr>
                <w:sz w:val="20"/>
                <w:lang w:val="ca-ES"/>
              </w:rPr>
            </w:pPr>
            <w:r>
              <w:rPr>
                <w:sz w:val="20"/>
                <w:lang w:val="ca-ES"/>
              </w:rPr>
              <w:t>Serveis</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22030" w:rsidRPr="00FD7F62" w:rsidRDefault="00822030" w:rsidP="001B682E">
            <w:pPr>
              <w:widowControl/>
              <w:suppressAutoHyphens w:val="0"/>
              <w:autoSpaceDE w:val="0"/>
              <w:adjustRightInd w:val="0"/>
              <w:jc w:val="center"/>
              <w:textAlignment w:val="auto"/>
              <w:rPr>
                <w:rFonts w:ascii="ArialMT" w:hAnsi="ArialMT" w:cs="ArialMT"/>
                <w:kern w:val="0"/>
                <w:sz w:val="19"/>
                <w:szCs w:val="19"/>
                <w:lang w:bidi="ar-SA"/>
              </w:rPr>
            </w:pPr>
            <w:r w:rsidRPr="00822030">
              <w:rPr>
                <w:rFonts w:ascii="ArialMT" w:hAnsi="ArialMT" w:cs="ArialMT"/>
                <w:kern w:val="0"/>
                <w:sz w:val="19"/>
                <w:szCs w:val="19"/>
                <w:lang w:bidi="ar-SA"/>
              </w:rPr>
              <w:t>ANA COELLO DE LLOBET, SLP</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22030" w:rsidRPr="00FD7F62" w:rsidRDefault="00822030">
            <w:pPr>
              <w:pStyle w:val="Standard"/>
              <w:jc w:val="center"/>
              <w:rPr>
                <w:sz w:val="20"/>
                <w:lang w:val="ca-ES"/>
              </w:rPr>
            </w:pPr>
            <w:r w:rsidRPr="00822030">
              <w:rPr>
                <w:sz w:val="20"/>
                <w:lang w:val="ca-ES"/>
              </w:rPr>
              <w:t>1 d’abril de 2025</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1DC8" w:rsidRDefault="00822030" w:rsidP="00731DC8">
            <w:pPr>
              <w:pStyle w:val="Prrafodelista"/>
              <w:numPr>
                <w:ilvl w:val="0"/>
                <w:numId w:val="3"/>
              </w:numPr>
              <w:autoSpaceDE w:val="0"/>
              <w:jc w:val="both"/>
              <w:rPr>
                <w:rFonts w:ascii="Arial" w:hAnsi="Arial" w:cs="Arial"/>
                <w:sz w:val="20"/>
              </w:rPr>
            </w:pPr>
            <w:r w:rsidRPr="00731DC8">
              <w:rPr>
                <w:rFonts w:ascii="Arial" w:hAnsi="Arial" w:cs="Arial"/>
                <w:b/>
                <w:sz w:val="20"/>
              </w:rPr>
              <w:t>Motiu del canvi:</w:t>
            </w:r>
            <w:r w:rsidRPr="00822030">
              <w:rPr>
                <w:rFonts w:ascii="Arial" w:hAnsi="Arial" w:cs="Arial"/>
                <w:sz w:val="20"/>
              </w:rPr>
              <w:t xml:space="preserve"> Per garantir la compatibilitat amb el projecte de renaturalització de la Riera de la Bisbal, es considera necessari ampliar l’àmbit del projecte per incloure el terreny entre el mur de contenció del marge dret i el seu límit inicial, en el tram entre el pont del carrer Estela i el carrer Rasa d’en Solà.</w:t>
            </w:r>
          </w:p>
          <w:p w:rsidR="00731DC8" w:rsidRDefault="00731DC8" w:rsidP="00731DC8">
            <w:pPr>
              <w:pStyle w:val="Prrafodelista"/>
              <w:autoSpaceDE w:val="0"/>
              <w:ind w:left="113"/>
              <w:jc w:val="both"/>
              <w:rPr>
                <w:rFonts w:ascii="Arial" w:hAnsi="Arial" w:cs="Arial"/>
                <w:sz w:val="20"/>
              </w:rPr>
            </w:pPr>
          </w:p>
          <w:p w:rsidR="00822030" w:rsidRPr="00731DC8" w:rsidRDefault="00822030" w:rsidP="00731DC8">
            <w:pPr>
              <w:pStyle w:val="Prrafodelista"/>
              <w:numPr>
                <w:ilvl w:val="0"/>
                <w:numId w:val="3"/>
              </w:numPr>
              <w:autoSpaceDE w:val="0"/>
              <w:jc w:val="both"/>
              <w:rPr>
                <w:rFonts w:ascii="Arial" w:hAnsi="Arial" w:cs="Arial"/>
                <w:b/>
                <w:sz w:val="20"/>
              </w:rPr>
            </w:pPr>
            <w:r w:rsidRPr="00731DC8">
              <w:rPr>
                <w:rFonts w:ascii="Arial" w:hAnsi="Arial" w:cs="Arial"/>
                <w:b/>
                <w:sz w:val="20"/>
              </w:rPr>
              <w:t>Justificació:</w:t>
            </w:r>
          </w:p>
          <w:p w:rsidR="00731DC8" w:rsidRDefault="00822030" w:rsidP="00731DC8">
            <w:pPr>
              <w:pStyle w:val="Prrafodelista"/>
              <w:numPr>
                <w:ilvl w:val="0"/>
                <w:numId w:val="4"/>
              </w:numPr>
              <w:autoSpaceDE w:val="0"/>
              <w:jc w:val="both"/>
              <w:rPr>
                <w:rFonts w:ascii="Arial" w:hAnsi="Arial" w:cs="Arial"/>
                <w:sz w:val="20"/>
              </w:rPr>
            </w:pPr>
            <w:r w:rsidRPr="00731DC8">
              <w:rPr>
                <w:rFonts w:ascii="Arial" w:hAnsi="Arial" w:cs="Arial"/>
                <w:sz w:val="20"/>
              </w:rPr>
              <w:t>Es tracta d’una modificació prevista als plecs, d’acord amb l’article 204 de la LCSP.</w:t>
            </w:r>
          </w:p>
          <w:p w:rsidR="00731DC8" w:rsidRDefault="00822030" w:rsidP="00731DC8">
            <w:pPr>
              <w:pStyle w:val="Prrafodelista"/>
              <w:numPr>
                <w:ilvl w:val="0"/>
                <w:numId w:val="4"/>
              </w:numPr>
              <w:autoSpaceDE w:val="0"/>
              <w:jc w:val="both"/>
              <w:rPr>
                <w:rFonts w:ascii="Arial" w:hAnsi="Arial" w:cs="Arial"/>
                <w:sz w:val="20"/>
              </w:rPr>
            </w:pPr>
            <w:r w:rsidRPr="00731DC8">
              <w:rPr>
                <w:rFonts w:ascii="Arial" w:hAnsi="Arial" w:cs="Arial"/>
                <w:sz w:val="20"/>
              </w:rPr>
              <w:t>L’informe tècnic avala la modificació com a necessària per la coordinació amb altres actuacions del municipi.</w:t>
            </w:r>
          </w:p>
          <w:p w:rsidR="00731DC8" w:rsidRDefault="00822030" w:rsidP="00731DC8">
            <w:pPr>
              <w:pStyle w:val="Prrafodelista"/>
              <w:numPr>
                <w:ilvl w:val="0"/>
                <w:numId w:val="4"/>
              </w:numPr>
              <w:autoSpaceDE w:val="0"/>
              <w:jc w:val="both"/>
              <w:rPr>
                <w:rFonts w:ascii="Arial" w:hAnsi="Arial" w:cs="Arial"/>
                <w:sz w:val="20"/>
              </w:rPr>
            </w:pPr>
            <w:r w:rsidRPr="00731DC8">
              <w:rPr>
                <w:rFonts w:ascii="Arial" w:hAnsi="Arial" w:cs="Arial"/>
                <w:sz w:val="20"/>
              </w:rPr>
              <w:t>No s’han presentat al·legacions durant els tràmits d’audiència.</w:t>
            </w:r>
          </w:p>
          <w:p w:rsidR="00822030" w:rsidRPr="00731DC8" w:rsidRDefault="00822030" w:rsidP="00731DC8">
            <w:pPr>
              <w:pStyle w:val="Prrafodelista"/>
              <w:numPr>
                <w:ilvl w:val="0"/>
                <w:numId w:val="4"/>
              </w:numPr>
              <w:autoSpaceDE w:val="0"/>
              <w:jc w:val="both"/>
              <w:rPr>
                <w:rFonts w:ascii="Arial" w:hAnsi="Arial" w:cs="Arial"/>
                <w:sz w:val="20"/>
              </w:rPr>
            </w:pPr>
            <w:r w:rsidRPr="00731DC8">
              <w:rPr>
                <w:rFonts w:ascii="Arial" w:hAnsi="Arial" w:cs="Arial"/>
                <w:sz w:val="20"/>
              </w:rPr>
              <w:t>S’han obtingut els informes favorables jurídics, tècnics i d’intervenció.</w:t>
            </w:r>
          </w:p>
          <w:p w:rsidR="00822030" w:rsidRPr="00822030" w:rsidRDefault="00822030" w:rsidP="00731DC8">
            <w:pPr>
              <w:autoSpaceDE w:val="0"/>
              <w:jc w:val="both"/>
              <w:rPr>
                <w:rFonts w:ascii="Arial" w:hAnsi="Arial" w:cs="Arial"/>
                <w:sz w:val="20"/>
              </w:rPr>
            </w:pPr>
          </w:p>
          <w:p w:rsidR="00822030" w:rsidRPr="00731DC8" w:rsidRDefault="00822030" w:rsidP="00731DC8">
            <w:pPr>
              <w:pStyle w:val="Prrafodelista"/>
              <w:numPr>
                <w:ilvl w:val="0"/>
                <w:numId w:val="3"/>
              </w:numPr>
              <w:autoSpaceDE w:val="0"/>
              <w:jc w:val="both"/>
              <w:rPr>
                <w:rFonts w:ascii="Arial" w:hAnsi="Arial" w:cs="Arial"/>
                <w:b/>
                <w:sz w:val="20"/>
              </w:rPr>
            </w:pPr>
            <w:r w:rsidRPr="00731DC8">
              <w:rPr>
                <w:rFonts w:ascii="Arial" w:hAnsi="Arial" w:cs="Arial"/>
                <w:b/>
                <w:sz w:val="20"/>
              </w:rPr>
              <w:t>Import i condicions econòmiques:</w:t>
            </w:r>
          </w:p>
          <w:p w:rsidR="00731DC8" w:rsidRDefault="00822030" w:rsidP="00731DC8">
            <w:pPr>
              <w:pStyle w:val="Prrafodelista"/>
              <w:numPr>
                <w:ilvl w:val="0"/>
                <w:numId w:val="5"/>
              </w:numPr>
              <w:autoSpaceDE w:val="0"/>
              <w:jc w:val="both"/>
              <w:rPr>
                <w:rFonts w:ascii="Arial" w:hAnsi="Arial" w:cs="Arial"/>
                <w:sz w:val="20"/>
              </w:rPr>
            </w:pPr>
            <w:r w:rsidRPr="00731DC8">
              <w:rPr>
                <w:rFonts w:ascii="Arial" w:hAnsi="Arial" w:cs="Arial"/>
                <w:sz w:val="20"/>
              </w:rPr>
              <w:t>Increment del 19,726847% respecte l’import d’adjudicació.</w:t>
            </w:r>
          </w:p>
          <w:p w:rsidR="00731DC8" w:rsidRDefault="00822030" w:rsidP="00731DC8">
            <w:pPr>
              <w:pStyle w:val="Prrafodelista"/>
              <w:numPr>
                <w:ilvl w:val="0"/>
                <w:numId w:val="5"/>
              </w:numPr>
              <w:autoSpaceDE w:val="0"/>
              <w:jc w:val="both"/>
              <w:rPr>
                <w:rFonts w:ascii="Arial" w:hAnsi="Arial" w:cs="Arial"/>
                <w:sz w:val="20"/>
              </w:rPr>
            </w:pPr>
            <w:r w:rsidRPr="00731DC8">
              <w:rPr>
                <w:rFonts w:ascii="Arial" w:hAnsi="Arial" w:cs="Arial"/>
                <w:sz w:val="20"/>
              </w:rPr>
              <w:t>Import addicional: 35.366,69 € (sense IVA), 42.793,69 € (IVA inclòs).</w:t>
            </w:r>
            <w:r w:rsidR="00731DC8" w:rsidRPr="00731DC8">
              <w:rPr>
                <w:rFonts w:ascii="Arial" w:hAnsi="Arial" w:cs="Arial"/>
                <w:sz w:val="20"/>
              </w:rPr>
              <w:t xml:space="preserve"> </w:t>
            </w:r>
          </w:p>
          <w:p w:rsidR="00822030" w:rsidRPr="00731DC8" w:rsidRDefault="00822030" w:rsidP="00731DC8">
            <w:pPr>
              <w:pStyle w:val="Prrafodelista"/>
              <w:numPr>
                <w:ilvl w:val="0"/>
                <w:numId w:val="5"/>
              </w:numPr>
              <w:autoSpaceDE w:val="0"/>
              <w:jc w:val="both"/>
              <w:rPr>
                <w:rFonts w:ascii="Arial" w:hAnsi="Arial" w:cs="Arial"/>
                <w:sz w:val="20"/>
              </w:rPr>
            </w:pPr>
            <w:r w:rsidRPr="00731DC8">
              <w:rPr>
                <w:rFonts w:ascii="Arial" w:hAnsi="Arial" w:cs="Arial"/>
                <w:sz w:val="20"/>
              </w:rPr>
              <w:t>Nou import total del contracte: 259.724,93 € (IVA inclòs).</w:t>
            </w:r>
          </w:p>
          <w:p w:rsidR="00822030" w:rsidRPr="00822030" w:rsidRDefault="00822030" w:rsidP="00731DC8">
            <w:pPr>
              <w:autoSpaceDE w:val="0"/>
              <w:jc w:val="both"/>
              <w:rPr>
                <w:rFonts w:ascii="Arial" w:hAnsi="Arial" w:cs="Arial"/>
                <w:sz w:val="20"/>
              </w:rPr>
            </w:pPr>
          </w:p>
          <w:p w:rsidR="00822030" w:rsidRPr="00731DC8" w:rsidRDefault="00822030" w:rsidP="00731DC8">
            <w:pPr>
              <w:pStyle w:val="Prrafodelista"/>
              <w:numPr>
                <w:ilvl w:val="0"/>
                <w:numId w:val="3"/>
              </w:numPr>
              <w:autoSpaceDE w:val="0"/>
              <w:jc w:val="both"/>
              <w:rPr>
                <w:rFonts w:ascii="Arial" w:hAnsi="Arial" w:cs="Arial"/>
                <w:b/>
                <w:sz w:val="20"/>
              </w:rPr>
            </w:pPr>
            <w:r w:rsidRPr="00731DC8">
              <w:rPr>
                <w:rFonts w:ascii="Arial" w:hAnsi="Arial" w:cs="Arial"/>
                <w:b/>
                <w:sz w:val="20"/>
              </w:rPr>
              <w:t>Distribució per serveis:</w:t>
            </w:r>
          </w:p>
          <w:p w:rsidR="00731DC8" w:rsidRDefault="00822030" w:rsidP="00731DC8">
            <w:pPr>
              <w:pStyle w:val="Prrafodelista"/>
              <w:numPr>
                <w:ilvl w:val="0"/>
                <w:numId w:val="6"/>
              </w:numPr>
              <w:autoSpaceDE w:val="0"/>
              <w:jc w:val="both"/>
              <w:rPr>
                <w:rFonts w:ascii="Arial" w:hAnsi="Arial" w:cs="Arial"/>
                <w:sz w:val="20"/>
              </w:rPr>
            </w:pPr>
            <w:r w:rsidRPr="00731DC8">
              <w:rPr>
                <w:rFonts w:ascii="Arial" w:hAnsi="Arial" w:cs="Arial"/>
                <w:sz w:val="20"/>
              </w:rPr>
              <w:t>Servei 1 (Redacció del projecte): +24.263,08 € (sense IVA), total amb modificació: 147.258,31 € (sense IVA).</w:t>
            </w:r>
          </w:p>
          <w:p w:rsidR="00822030" w:rsidRPr="00731DC8" w:rsidRDefault="00822030" w:rsidP="00731DC8">
            <w:pPr>
              <w:pStyle w:val="Prrafodelista"/>
              <w:numPr>
                <w:ilvl w:val="0"/>
                <w:numId w:val="6"/>
              </w:numPr>
              <w:autoSpaceDE w:val="0"/>
              <w:jc w:val="both"/>
              <w:rPr>
                <w:rFonts w:ascii="Arial" w:hAnsi="Arial" w:cs="Arial"/>
                <w:sz w:val="20"/>
              </w:rPr>
            </w:pPr>
            <w:r w:rsidRPr="00731DC8">
              <w:rPr>
                <w:rFonts w:ascii="Arial" w:hAnsi="Arial" w:cs="Arial"/>
                <w:sz w:val="20"/>
              </w:rPr>
              <w:t>Servei 2 (Direcció de les obres): +11.103,61 € (sense IVA), total amb modificació: 67.390,40 € (sense IVA). Aquesta part està subjecta a condició suspensiva per estar vinculada a un préstec pendent de formalització.</w:t>
            </w:r>
          </w:p>
          <w:p w:rsidR="00822030" w:rsidRPr="00822030" w:rsidRDefault="00822030" w:rsidP="00731DC8">
            <w:pPr>
              <w:autoSpaceDE w:val="0"/>
              <w:jc w:val="both"/>
              <w:rPr>
                <w:rFonts w:ascii="Arial" w:hAnsi="Arial" w:cs="Arial"/>
                <w:sz w:val="20"/>
              </w:rPr>
            </w:pPr>
          </w:p>
          <w:p w:rsidR="00822030" w:rsidRPr="00731DC8" w:rsidRDefault="00822030" w:rsidP="00731DC8">
            <w:pPr>
              <w:pStyle w:val="Prrafodelista"/>
              <w:numPr>
                <w:ilvl w:val="0"/>
                <w:numId w:val="3"/>
              </w:numPr>
              <w:autoSpaceDE w:val="0"/>
              <w:jc w:val="both"/>
              <w:rPr>
                <w:rFonts w:ascii="Arial" w:hAnsi="Arial" w:cs="Arial"/>
                <w:b/>
                <w:sz w:val="20"/>
              </w:rPr>
            </w:pPr>
            <w:r w:rsidRPr="00731DC8">
              <w:rPr>
                <w:rFonts w:ascii="Arial" w:hAnsi="Arial" w:cs="Arial"/>
                <w:b/>
                <w:sz w:val="20"/>
              </w:rPr>
              <w:t>Altres aspectes destacats:</w:t>
            </w:r>
          </w:p>
          <w:p w:rsidR="00731DC8" w:rsidRDefault="00822030" w:rsidP="00731DC8">
            <w:pPr>
              <w:pStyle w:val="Prrafodelista"/>
              <w:numPr>
                <w:ilvl w:val="0"/>
                <w:numId w:val="7"/>
              </w:numPr>
              <w:autoSpaceDE w:val="0"/>
              <w:jc w:val="both"/>
              <w:rPr>
                <w:rFonts w:ascii="Arial" w:hAnsi="Arial" w:cs="Arial"/>
                <w:sz w:val="20"/>
              </w:rPr>
            </w:pPr>
            <w:r w:rsidRPr="00731DC8">
              <w:rPr>
                <w:rFonts w:ascii="Arial" w:hAnsi="Arial" w:cs="Arial"/>
                <w:sz w:val="20"/>
              </w:rPr>
              <w:t>Ampliació del termini d’execució en 4 mesos.</w:t>
            </w:r>
          </w:p>
          <w:p w:rsidR="00822030" w:rsidRPr="00FD7F62" w:rsidRDefault="00822030" w:rsidP="00731DC8">
            <w:pPr>
              <w:pStyle w:val="Prrafodelista"/>
              <w:numPr>
                <w:ilvl w:val="0"/>
                <w:numId w:val="7"/>
              </w:numPr>
              <w:autoSpaceDE w:val="0"/>
              <w:jc w:val="both"/>
              <w:rPr>
                <w:rFonts w:ascii="Arial" w:hAnsi="Arial" w:cs="Arial"/>
                <w:sz w:val="20"/>
              </w:rPr>
            </w:pPr>
            <w:r w:rsidRPr="00822030">
              <w:rPr>
                <w:rFonts w:ascii="Arial" w:hAnsi="Arial" w:cs="Arial"/>
                <w:sz w:val="20"/>
              </w:rPr>
              <w:t>Reajustament de la garantia definitiva per valor de 1.768,33 €, aportada per l’adjudicatari mitjançant assegurança de caució.</w:t>
            </w:r>
          </w:p>
        </w:tc>
      </w:tr>
      <w:tr w:rsidR="00F207E7" w:rsidTr="00731DC8">
        <w:trPr>
          <w:cantSplit/>
          <w:trHeight w:val="679"/>
          <w:jc w:val="center"/>
        </w:trPr>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207E7" w:rsidRPr="00FD7F62" w:rsidRDefault="001B682E" w:rsidP="001B682E">
            <w:pPr>
              <w:widowControl/>
              <w:suppressAutoHyphens w:val="0"/>
              <w:autoSpaceDE w:val="0"/>
              <w:adjustRightInd w:val="0"/>
              <w:jc w:val="both"/>
              <w:textAlignment w:val="auto"/>
              <w:rPr>
                <w:rFonts w:hint="eastAsia"/>
                <w:sz w:val="20"/>
              </w:rPr>
            </w:pPr>
            <w:r w:rsidRPr="00FD7F62">
              <w:rPr>
                <w:rFonts w:ascii="Arial-BoldMT" w:hAnsi="Arial-BoldMT" w:cs="Arial-BoldMT"/>
                <w:b/>
                <w:bCs/>
                <w:kern w:val="0"/>
                <w:sz w:val="19"/>
                <w:szCs w:val="19"/>
                <w:lang w:bidi="ar-SA"/>
              </w:rPr>
              <w:lastRenderedPageBreak/>
              <w:t xml:space="preserve">MODIFICACIÓ DEL CONTRACTE DEL LOT 2 “SISTEMA INTEGRAT  D’ILꞏLUMINACIÓ, ÀUDIO I AUDIOVISUAL” dels serveis i subministrament d’elements per l’adequació de la sala polivalent de l’espai </w:t>
            </w:r>
            <w:proofErr w:type="spellStart"/>
            <w:r w:rsidRPr="00FD7F62">
              <w:rPr>
                <w:rFonts w:ascii="Arial-BoldMT" w:hAnsi="Arial-BoldMT" w:cs="Arial-BoldMT"/>
                <w:b/>
                <w:bCs/>
                <w:kern w:val="0"/>
                <w:sz w:val="19"/>
                <w:szCs w:val="19"/>
                <w:lang w:bidi="ar-SA"/>
              </w:rPr>
              <w:t>Tabaris</w:t>
            </w:r>
            <w:proofErr w:type="spellEnd"/>
            <w:r w:rsidRPr="00FD7F62">
              <w:rPr>
                <w:rFonts w:ascii="Arial-BoldMT" w:hAnsi="Arial-BoldMT" w:cs="Arial-BoldMT"/>
                <w:b/>
                <w:bCs/>
                <w:kern w:val="0"/>
                <w:sz w:val="19"/>
                <w:szCs w:val="19"/>
                <w:lang w:bidi="ar-SA"/>
              </w:rPr>
              <w:t xml:space="preserve"> de Coma-ruga.</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207E7" w:rsidRPr="00FD7F62" w:rsidRDefault="00CD0DEA">
            <w:pPr>
              <w:pStyle w:val="Standard"/>
              <w:jc w:val="center"/>
              <w:rPr>
                <w:sz w:val="20"/>
                <w:lang w:val="ca-ES"/>
              </w:rPr>
            </w:pPr>
            <w:r w:rsidRPr="00FD7F62">
              <w:rPr>
                <w:sz w:val="20"/>
                <w:lang w:val="ca-ES"/>
              </w:rPr>
              <w:t>Mixt</w:t>
            </w:r>
          </w:p>
        </w:tc>
        <w:tc>
          <w:tcPr>
            <w:tcW w:w="184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207E7" w:rsidRPr="00FD7F62" w:rsidRDefault="001B682E" w:rsidP="001B682E">
            <w:pPr>
              <w:widowControl/>
              <w:suppressAutoHyphens w:val="0"/>
              <w:autoSpaceDE w:val="0"/>
              <w:adjustRightInd w:val="0"/>
              <w:jc w:val="center"/>
              <w:textAlignment w:val="auto"/>
              <w:rPr>
                <w:rFonts w:hint="eastAsia"/>
                <w:sz w:val="20"/>
              </w:rPr>
            </w:pPr>
            <w:r w:rsidRPr="00FD7F62">
              <w:rPr>
                <w:rFonts w:ascii="ArialMT" w:hAnsi="ArialMT" w:cs="ArialMT"/>
                <w:kern w:val="0"/>
                <w:sz w:val="19"/>
                <w:szCs w:val="19"/>
                <w:lang w:bidi="ar-SA"/>
              </w:rPr>
              <w:t>IMESDE, INTEGRACIÓ, DISTRIBUCIÓ I ENGINYERIA ESCÈNICA, SL</w:t>
            </w:r>
          </w:p>
        </w:tc>
        <w:tc>
          <w:tcPr>
            <w:tcW w:w="1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207E7" w:rsidRPr="00FD7F62" w:rsidRDefault="00CD0DEA">
            <w:pPr>
              <w:pStyle w:val="Standard"/>
              <w:jc w:val="center"/>
              <w:rPr>
                <w:sz w:val="20"/>
                <w:lang w:val="ca-ES"/>
              </w:rPr>
            </w:pPr>
            <w:r w:rsidRPr="00FD7F62">
              <w:rPr>
                <w:sz w:val="20"/>
                <w:lang w:val="ca-ES"/>
              </w:rPr>
              <w:t>3 de gener de 202</w:t>
            </w:r>
            <w:r w:rsidR="001B682E" w:rsidRPr="00FD7F62">
              <w:rPr>
                <w:sz w:val="20"/>
                <w:lang w:val="ca-ES"/>
              </w:rPr>
              <w:t>5</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21A2" w:rsidRPr="00FD7F62" w:rsidRDefault="005121A2" w:rsidP="004411D1">
            <w:pPr>
              <w:autoSpaceDE w:val="0"/>
              <w:rPr>
                <w:rFonts w:ascii="Arial" w:hAnsi="Arial" w:cs="Arial"/>
                <w:sz w:val="20"/>
              </w:rPr>
            </w:pPr>
          </w:p>
          <w:p w:rsidR="005121A2" w:rsidRPr="00731DC8" w:rsidRDefault="005121A2" w:rsidP="00731DC8">
            <w:pPr>
              <w:pStyle w:val="Prrafodelista"/>
              <w:numPr>
                <w:ilvl w:val="0"/>
                <w:numId w:val="3"/>
              </w:numPr>
              <w:autoSpaceDE w:val="0"/>
              <w:jc w:val="both"/>
              <w:rPr>
                <w:rFonts w:ascii="Arial" w:hAnsi="Arial" w:cs="Arial"/>
                <w:sz w:val="20"/>
              </w:rPr>
            </w:pPr>
            <w:r w:rsidRPr="00731DC8">
              <w:rPr>
                <w:rFonts w:ascii="Arial" w:hAnsi="Arial" w:cs="Arial"/>
                <w:b/>
                <w:sz w:val="20"/>
              </w:rPr>
              <w:t>M</w:t>
            </w:r>
            <w:r w:rsidR="00FB2825" w:rsidRPr="00731DC8">
              <w:rPr>
                <w:rFonts w:ascii="Arial" w:hAnsi="Arial" w:cs="Arial"/>
                <w:b/>
                <w:sz w:val="20"/>
              </w:rPr>
              <w:t>otiu del canvi:</w:t>
            </w:r>
            <w:r w:rsidR="00FB2825" w:rsidRPr="00731DC8">
              <w:rPr>
                <w:rFonts w:ascii="Arial" w:hAnsi="Arial" w:cs="Arial"/>
                <w:sz w:val="20"/>
              </w:rPr>
              <w:t xml:space="preserve"> El projecte original es va realitzar per l’empresa Sotracs abans de finalitzar l’obra fet que va condicionar el projecte al tenir que fer suposicions en la seva redacció, com per exemple la sonoritat que es va pressuposar que </w:t>
            </w:r>
            <w:r w:rsidR="00FD7F62" w:rsidRPr="00731DC8">
              <w:rPr>
                <w:rFonts w:ascii="Arial" w:hAnsi="Arial" w:cs="Arial"/>
                <w:sz w:val="20"/>
              </w:rPr>
              <w:t>seria</w:t>
            </w:r>
            <w:r w:rsidR="00FB2825" w:rsidRPr="00731DC8">
              <w:rPr>
                <w:rFonts w:ascii="Arial" w:hAnsi="Arial" w:cs="Arial"/>
                <w:sz w:val="20"/>
              </w:rPr>
              <w:t xml:space="preserve"> de mala qualitat i alta reverberació. Un cop finalitzada l’obra al 100%, la resposta acústica de la sala polivalent és </w:t>
            </w:r>
            <w:r w:rsidR="00FD7F62" w:rsidRPr="00731DC8">
              <w:rPr>
                <w:rFonts w:ascii="Arial" w:hAnsi="Arial" w:cs="Arial"/>
                <w:sz w:val="20"/>
              </w:rPr>
              <w:t>excel·lent</w:t>
            </w:r>
            <w:r w:rsidR="00FB2825" w:rsidRPr="00731DC8">
              <w:rPr>
                <w:rFonts w:ascii="Arial" w:hAnsi="Arial" w:cs="Arial"/>
                <w:sz w:val="20"/>
              </w:rPr>
              <w:t xml:space="preserve"> fet que ha propiciat requerir una adaptació del projecte original, sempre amb l’objecte d’aconseguir el propòsit de tenir un sistema integrat </w:t>
            </w:r>
            <w:r w:rsidR="00FD7F62" w:rsidRPr="00731DC8">
              <w:rPr>
                <w:rFonts w:ascii="Arial" w:hAnsi="Arial" w:cs="Arial"/>
                <w:sz w:val="20"/>
              </w:rPr>
              <w:t>d’il·luminació</w:t>
            </w:r>
            <w:r w:rsidR="00FB2825" w:rsidRPr="00731DC8">
              <w:rPr>
                <w:rFonts w:ascii="Arial" w:hAnsi="Arial" w:cs="Arial"/>
                <w:sz w:val="20"/>
              </w:rPr>
              <w:t>, àudio i audiovisual.</w:t>
            </w:r>
          </w:p>
          <w:p w:rsidR="00FB2825" w:rsidRPr="00FD7F62" w:rsidRDefault="00FB2825" w:rsidP="00FB2825">
            <w:pPr>
              <w:autoSpaceDE w:val="0"/>
              <w:jc w:val="both"/>
              <w:rPr>
                <w:rFonts w:ascii="Arial" w:hAnsi="Arial" w:cs="Arial"/>
                <w:sz w:val="20"/>
              </w:rPr>
            </w:pPr>
          </w:p>
          <w:p w:rsidR="00FB2825" w:rsidRPr="00731DC8" w:rsidRDefault="00FB2825" w:rsidP="00731DC8">
            <w:pPr>
              <w:pStyle w:val="Prrafodelista"/>
              <w:numPr>
                <w:ilvl w:val="0"/>
                <w:numId w:val="3"/>
              </w:numPr>
              <w:autoSpaceDE w:val="0"/>
              <w:jc w:val="both"/>
              <w:rPr>
                <w:rFonts w:ascii="Arial" w:hAnsi="Arial" w:cs="Arial"/>
                <w:sz w:val="20"/>
              </w:rPr>
            </w:pPr>
            <w:r w:rsidRPr="00731DC8">
              <w:rPr>
                <w:rFonts w:ascii="Arial" w:hAnsi="Arial" w:cs="Arial"/>
                <w:b/>
                <w:sz w:val="20"/>
              </w:rPr>
              <w:t>Justificació:</w:t>
            </w:r>
          </w:p>
          <w:p w:rsidR="00FB2825" w:rsidRPr="00FD7F62" w:rsidRDefault="00FB2825" w:rsidP="00731DC8">
            <w:pPr>
              <w:pStyle w:val="Prrafodelista"/>
              <w:numPr>
                <w:ilvl w:val="0"/>
                <w:numId w:val="2"/>
              </w:numPr>
              <w:autoSpaceDE w:val="0"/>
              <w:jc w:val="both"/>
              <w:rPr>
                <w:rFonts w:ascii="Arial" w:hAnsi="Arial" w:cs="Arial"/>
                <w:sz w:val="20"/>
              </w:rPr>
            </w:pPr>
            <w:r w:rsidRPr="00FD7F62">
              <w:rPr>
                <w:rFonts w:ascii="Arial" w:hAnsi="Arial" w:cs="Arial"/>
                <w:sz w:val="20"/>
              </w:rPr>
              <w:t>La modificació no canvia l’objecte del contracte, simplement canvia el nombre d’elements i la tipologia.</w:t>
            </w:r>
          </w:p>
          <w:p w:rsidR="00FB2825" w:rsidRPr="00FD7F62" w:rsidRDefault="00FB2825" w:rsidP="00731DC8">
            <w:pPr>
              <w:pStyle w:val="Prrafodelista"/>
              <w:numPr>
                <w:ilvl w:val="0"/>
                <w:numId w:val="2"/>
              </w:numPr>
              <w:autoSpaceDE w:val="0"/>
              <w:jc w:val="both"/>
              <w:rPr>
                <w:rFonts w:ascii="Arial" w:hAnsi="Arial" w:cs="Arial"/>
                <w:sz w:val="20"/>
              </w:rPr>
            </w:pPr>
            <w:r w:rsidRPr="00FD7F62">
              <w:rPr>
                <w:rFonts w:ascii="Arial" w:hAnsi="Arial" w:cs="Arial"/>
                <w:sz w:val="20"/>
              </w:rPr>
              <w:t>La modificació s’adequa a la realitat construïda i tècnicament està ben justificada amb diagrames</w:t>
            </w:r>
            <w:bookmarkStart w:id="1" w:name="_GoBack"/>
            <w:bookmarkEnd w:id="1"/>
            <w:r w:rsidRPr="00FD7F62">
              <w:rPr>
                <w:rFonts w:ascii="Arial" w:hAnsi="Arial" w:cs="Arial"/>
                <w:sz w:val="20"/>
              </w:rPr>
              <w:t xml:space="preserve"> simulació electroacústica SPL.</w:t>
            </w:r>
          </w:p>
          <w:p w:rsidR="00FB2825" w:rsidRPr="00FD7F62" w:rsidRDefault="00FB2825" w:rsidP="00731DC8">
            <w:pPr>
              <w:pStyle w:val="Prrafodelista"/>
              <w:numPr>
                <w:ilvl w:val="0"/>
                <w:numId w:val="2"/>
              </w:numPr>
              <w:autoSpaceDE w:val="0"/>
              <w:jc w:val="both"/>
              <w:rPr>
                <w:rFonts w:ascii="Arial" w:hAnsi="Arial" w:cs="Arial"/>
                <w:sz w:val="20"/>
              </w:rPr>
            </w:pPr>
            <w:r w:rsidRPr="00FD7F62">
              <w:rPr>
                <w:rFonts w:ascii="Arial" w:hAnsi="Arial" w:cs="Arial"/>
                <w:sz w:val="20"/>
              </w:rPr>
              <w:t xml:space="preserve">Amb la modificació s’incrementa la capacitat audiovisual, amb </w:t>
            </w:r>
            <w:r w:rsidR="00FD7F62" w:rsidRPr="00FD7F62">
              <w:rPr>
                <w:rFonts w:ascii="Arial" w:hAnsi="Arial" w:cs="Arial"/>
                <w:sz w:val="20"/>
              </w:rPr>
              <w:t>l</w:t>
            </w:r>
            <w:r w:rsidR="00FD7F62">
              <w:rPr>
                <w:rFonts w:ascii="Arial" w:hAnsi="Arial" w:cs="Arial"/>
                <w:sz w:val="20"/>
              </w:rPr>
              <w:t>a</w:t>
            </w:r>
            <w:r w:rsidR="00FD7F62" w:rsidRPr="00FD7F62">
              <w:rPr>
                <w:rFonts w:ascii="Arial" w:hAnsi="Arial" w:cs="Arial"/>
                <w:sz w:val="20"/>
              </w:rPr>
              <w:t xml:space="preserve"> incorporació</w:t>
            </w:r>
            <w:r w:rsidRPr="00FD7F62">
              <w:rPr>
                <w:rFonts w:ascii="Arial" w:hAnsi="Arial" w:cs="Arial"/>
                <w:sz w:val="20"/>
              </w:rPr>
              <w:t xml:space="preserve"> d’una càmera per poder gravar i realitzar </w:t>
            </w:r>
            <w:proofErr w:type="spellStart"/>
            <w:r w:rsidRPr="00FD7F62">
              <w:rPr>
                <w:rFonts w:ascii="Arial" w:hAnsi="Arial" w:cs="Arial"/>
                <w:sz w:val="20"/>
              </w:rPr>
              <w:t>streaming</w:t>
            </w:r>
            <w:proofErr w:type="spellEnd"/>
            <w:r w:rsidRPr="00FD7F62">
              <w:rPr>
                <w:rFonts w:ascii="Arial" w:hAnsi="Arial" w:cs="Arial"/>
                <w:sz w:val="20"/>
              </w:rPr>
              <w:t>.</w:t>
            </w:r>
          </w:p>
          <w:p w:rsidR="00FB2825" w:rsidRPr="00FD7F62" w:rsidRDefault="00FB2825" w:rsidP="00731DC8">
            <w:pPr>
              <w:pStyle w:val="Prrafodelista"/>
              <w:numPr>
                <w:ilvl w:val="0"/>
                <w:numId w:val="2"/>
              </w:numPr>
              <w:autoSpaceDE w:val="0"/>
              <w:jc w:val="both"/>
              <w:rPr>
                <w:rFonts w:ascii="Arial" w:hAnsi="Arial" w:cs="Arial"/>
                <w:sz w:val="20"/>
              </w:rPr>
            </w:pPr>
            <w:r w:rsidRPr="00FD7F62">
              <w:rPr>
                <w:rFonts w:ascii="Arial" w:hAnsi="Arial" w:cs="Arial"/>
                <w:sz w:val="20"/>
              </w:rPr>
              <w:t xml:space="preserve">Amb la modificació es soluciona el problema de la localització del </w:t>
            </w:r>
            <w:proofErr w:type="spellStart"/>
            <w:r w:rsidRPr="00FD7F62">
              <w:rPr>
                <w:rFonts w:ascii="Arial" w:hAnsi="Arial" w:cs="Arial"/>
                <w:sz w:val="20"/>
              </w:rPr>
              <w:t>rack</w:t>
            </w:r>
            <w:proofErr w:type="spellEnd"/>
            <w:r w:rsidRPr="00FD7F62">
              <w:rPr>
                <w:rFonts w:ascii="Arial" w:hAnsi="Arial" w:cs="Arial"/>
                <w:sz w:val="20"/>
              </w:rPr>
              <w:t xml:space="preserve">, que inicialment es localitzat a la sala de màquines, amb la nova proposta es realitza un moble control mòbil que substitueix el </w:t>
            </w:r>
            <w:proofErr w:type="spellStart"/>
            <w:r w:rsidRPr="00FD7F62">
              <w:rPr>
                <w:rFonts w:ascii="Arial" w:hAnsi="Arial" w:cs="Arial"/>
                <w:sz w:val="20"/>
              </w:rPr>
              <w:t>rack</w:t>
            </w:r>
            <w:proofErr w:type="spellEnd"/>
            <w:r w:rsidRPr="00FD7F62">
              <w:rPr>
                <w:rFonts w:ascii="Arial" w:hAnsi="Arial" w:cs="Arial"/>
                <w:sz w:val="20"/>
              </w:rPr>
              <w:t>.</w:t>
            </w:r>
          </w:p>
          <w:p w:rsidR="00731DC8" w:rsidRPr="00731DC8" w:rsidRDefault="00731DC8" w:rsidP="00731DC8">
            <w:pPr>
              <w:pStyle w:val="Prrafodelista"/>
              <w:numPr>
                <w:ilvl w:val="0"/>
                <w:numId w:val="3"/>
              </w:numPr>
              <w:autoSpaceDE w:val="0"/>
              <w:jc w:val="both"/>
              <w:rPr>
                <w:rFonts w:ascii="Arial" w:hAnsi="Arial" w:cs="Arial"/>
                <w:b/>
                <w:sz w:val="20"/>
              </w:rPr>
            </w:pPr>
            <w:r w:rsidRPr="00731DC8">
              <w:rPr>
                <w:rFonts w:ascii="Arial" w:hAnsi="Arial" w:cs="Arial"/>
                <w:b/>
                <w:sz w:val="20"/>
              </w:rPr>
              <w:t>Altres aspectes destacats:</w:t>
            </w:r>
          </w:p>
          <w:p w:rsidR="00731DC8" w:rsidRDefault="00FB5DE6" w:rsidP="00731DC8">
            <w:pPr>
              <w:pStyle w:val="Prrafodelista"/>
              <w:numPr>
                <w:ilvl w:val="0"/>
                <w:numId w:val="8"/>
              </w:numPr>
              <w:autoSpaceDE w:val="0"/>
              <w:jc w:val="both"/>
              <w:rPr>
                <w:rFonts w:ascii="Arial" w:hAnsi="Arial" w:cs="Arial"/>
                <w:sz w:val="20"/>
              </w:rPr>
            </w:pPr>
            <w:r w:rsidRPr="00731DC8">
              <w:rPr>
                <w:rFonts w:ascii="Arial" w:hAnsi="Arial" w:cs="Arial"/>
                <w:sz w:val="20"/>
              </w:rPr>
              <w:t xml:space="preserve">El nombre de mesos del pla de manteniment és de 4 mesos. </w:t>
            </w:r>
          </w:p>
          <w:p w:rsidR="00905819" w:rsidRPr="00731DC8" w:rsidRDefault="00FB5DE6" w:rsidP="00731DC8">
            <w:pPr>
              <w:pStyle w:val="Prrafodelista"/>
              <w:numPr>
                <w:ilvl w:val="0"/>
                <w:numId w:val="8"/>
              </w:numPr>
              <w:autoSpaceDE w:val="0"/>
              <w:jc w:val="both"/>
              <w:rPr>
                <w:rFonts w:ascii="Arial" w:hAnsi="Arial" w:cs="Arial"/>
                <w:sz w:val="20"/>
              </w:rPr>
            </w:pPr>
            <w:r w:rsidRPr="00731DC8">
              <w:rPr>
                <w:rFonts w:ascii="Arial" w:hAnsi="Arial" w:cs="Arial"/>
                <w:sz w:val="20"/>
              </w:rPr>
              <w:t>Per un import de 2</w:t>
            </w:r>
            <w:r w:rsidR="0020228C" w:rsidRPr="00731DC8">
              <w:rPr>
                <w:rFonts w:ascii="Arial" w:hAnsi="Arial" w:cs="Arial"/>
                <w:sz w:val="20"/>
              </w:rPr>
              <w:t>54</w:t>
            </w:r>
            <w:r w:rsidRPr="00731DC8">
              <w:rPr>
                <w:rFonts w:ascii="Arial" w:hAnsi="Arial" w:cs="Arial"/>
                <w:sz w:val="20"/>
              </w:rPr>
              <w:t>.</w:t>
            </w:r>
            <w:r w:rsidR="0020228C" w:rsidRPr="00731DC8">
              <w:rPr>
                <w:rFonts w:ascii="Arial" w:hAnsi="Arial" w:cs="Arial"/>
                <w:sz w:val="20"/>
              </w:rPr>
              <w:t>32</w:t>
            </w:r>
            <w:r w:rsidRPr="00731DC8">
              <w:rPr>
                <w:rFonts w:ascii="Arial" w:hAnsi="Arial" w:cs="Arial"/>
                <w:sz w:val="20"/>
              </w:rPr>
              <w:t>8,3</w:t>
            </w:r>
            <w:r w:rsidR="00905819" w:rsidRPr="00731DC8">
              <w:rPr>
                <w:rFonts w:ascii="Arial" w:hAnsi="Arial" w:cs="Arial"/>
                <w:sz w:val="20"/>
              </w:rPr>
              <w:t>6</w:t>
            </w:r>
            <w:r w:rsidRPr="00731DC8">
              <w:rPr>
                <w:rFonts w:ascii="Arial" w:hAnsi="Arial" w:cs="Arial"/>
                <w:sz w:val="20"/>
              </w:rPr>
              <w:t xml:space="preserve"> </w:t>
            </w:r>
            <w:r w:rsidR="00905819" w:rsidRPr="00731DC8">
              <w:rPr>
                <w:rFonts w:ascii="Arial" w:hAnsi="Arial" w:cs="Arial"/>
                <w:sz w:val="20"/>
              </w:rPr>
              <w:t>euros</w:t>
            </w:r>
            <w:r w:rsidRPr="00731DC8">
              <w:rPr>
                <w:rFonts w:ascii="Arial" w:hAnsi="Arial" w:cs="Arial"/>
                <w:sz w:val="20"/>
              </w:rPr>
              <w:t xml:space="preserve"> IVA inclòs, dels quals </w:t>
            </w:r>
            <w:r w:rsidR="00905819" w:rsidRPr="00731DC8">
              <w:rPr>
                <w:rFonts w:ascii="Arial" w:hAnsi="Arial" w:cs="Arial"/>
                <w:sz w:val="20"/>
              </w:rPr>
              <w:t>210.188,73</w:t>
            </w:r>
            <w:r w:rsidRPr="00731DC8">
              <w:rPr>
                <w:rFonts w:ascii="Arial" w:hAnsi="Arial" w:cs="Arial"/>
                <w:sz w:val="20"/>
              </w:rPr>
              <w:t xml:space="preserve"> euros corresponen a la base imposable i </w:t>
            </w:r>
            <w:r w:rsidR="00905819" w:rsidRPr="00731DC8">
              <w:rPr>
                <w:rFonts w:ascii="Arial" w:hAnsi="Arial" w:cs="Arial"/>
                <w:sz w:val="20"/>
              </w:rPr>
              <w:t>44.139,63 euros</w:t>
            </w:r>
            <w:r w:rsidRPr="00731DC8">
              <w:rPr>
                <w:rFonts w:ascii="Arial" w:hAnsi="Arial" w:cs="Arial"/>
                <w:sz w:val="20"/>
              </w:rPr>
              <w:t xml:space="preserve"> a l’IVA</w:t>
            </w:r>
            <w:r w:rsidR="00905819" w:rsidRPr="00731DC8">
              <w:rPr>
                <w:rFonts w:ascii="Arial" w:hAnsi="Arial" w:cs="Arial"/>
                <w:sz w:val="20"/>
              </w:rPr>
              <w:t>.</w:t>
            </w:r>
          </w:p>
        </w:tc>
      </w:tr>
      <w:bookmarkEnd w:id="0"/>
    </w:tbl>
    <w:p w:rsidR="00C24CCF" w:rsidRDefault="00C24CCF" w:rsidP="006549FC">
      <w:pPr>
        <w:rPr>
          <w:rFonts w:hint="eastAsia"/>
        </w:rPr>
      </w:pPr>
    </w:p>
    <w:sectPr w:rsidR="00C24CCF">
      <w:headerReference w:type="default" r:id="rId7"/>
      <w:footerReference w:type="default" r:id="rId8"/>
      <w:pgSz w:w="16838" w:h="11906" w:orient="landscape"/>
      <w:pgMar w:top="1560"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475" w:rsidRDefault="00CD0DEA">
      <w:pPr>
        <w:rPr>
          <w:rFonts w:hint="eastAsia"/>
        </w:rPr>
      </w:pPr>
      <w:r>
        <w:separator/>
      </w:r>
    </w:p>
  </w:endnote>
  <w:endnote w:type="continuationSeparator" w:id="0">
    <w:p w:rsidR="00484475" w:rsidRDefault="00CD0D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557938"/>
      <w:docPartObj>
        <w:docPartGallery w:val="Page Numbers (Bottom of Page)"/>
        <w:docPartUnique/>
      </w:docPartObj>
    </w:sdtPr>
    <w:sdtEndPr/>
    <w:sdtContent>
      <w:p w:rsidR="004411D1" w:rsidRDefault="004411D1">
        <w:pPr>
          <w:pStyle w:val="Piedepgina"/>
          <w:jc w:val="center"/>
        </w:pPr>
        <w:r>
          <w:fldChar w:fldCharType="begin"/>
        </w:r>
        <w:r>
          <w:instrText>PAGE   \* MERGEFORMAT</w:instrText>
        </w:r>
        <w:r>
          <w:fldChar w:fldCharType="separate"/>
        </w:r>
        <w:r>
          <w:rPr>
            <w:lang w:val="ca-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475" w:rsidRDefault="00CD0DEA">
      <w:pPr>
        <w:rPr>
          <w:rFonts w:hint="eastAsia"/>
        </w:rPr>
      </w:pPr>
      <w:r>
        <w:rPr>
          <w:color w:val="000000"/>
        </w:rPr>
        <w:separator/>
      </w:r>
    </w:p>
  </w:footnote>
  <w:footnote w:type="continuationSeparator" w:id="0">
    <w:p w:rsidR="00484475" w:rsidRDefault="00CD0DE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4FB" w:rsidRDefault="004411D1">
    <w:pPr>
      <w:pStyle w:val="Encabezado"/>
    </w:pPr>
    <w:r>
      <w:rPr>
        <w:noProof/>
      </w:rPr>
      <w:drawing>
        <wp:inline distT="0" distB="0" distL="0" distR="0">
          <wp:extent cx="1885950" cy="708936"/>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 blau amb lletres al costat.png"/>
                  <pic:cNvPicPr/>
                </pic:nvPicPr>
                <pic:blipFill>
                  <a:blip r:embed="rId1">
                    <a:extLst>
                      <a:ext uri="{28A0092B-C50C-407E-A947-70E740481C1C}">
                        <a14:useLocalDpi xmlns:a14="http://schemas.microsoft.com/office/drawing/2010/main" val="0"/>
                      </a:ext>
                    </a:extLst>
                  </a:blip>
                  <a:stretch>
                    <a:fillRect/>
                  </a:stretch>
                </pic:blipFill>
                <pic:spPr>
                  <a:xfrm>
                    <a:off x="0" y="0"/>
                    <a:ext cx="1935410" cy="727528"/>
                  </a:xfrm>
                  <a:prstGeom prst="rect">
                    <a:avLst/>
                  </a:prstGeom>
                </pic:spPr>
              </pic:pic>
            </a:graphicData>
          </a:graphic>
        </wp:inline>
      </w:drawing>
    </w:r>
  </w:p>
  <w:p w:rsidR="006054FB" w:rsidRDefault="00731D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74B"/>
    <w:multiLevelType w:val="hybridMultilevel"/>
    <w:tmpl w:val="21401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D6150C"/>
    <w:multiLevelType w:val="hybridMultilevel"/>
    <w:tmpl w:val="430EC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47492C"/>
    <w:multiLevelType w:val="hybridMultilevel"/>
    <w:tmpl w:val="6570FAB2"/>
    <w:lvl w:ilvl="0" w:tplc="A484CB3C">
      <w:numFmt w:val="bullet"/>
      <w:suff w:val="space"/>
      <w:lvlText w:val="-"/>
      <w:lvlJc w:val="left"/>
      <w:pPr>
        <w:ind w:left="113" w:firstLine="0"/>
      </w:pPr>
      <w:rPr>
        <w:rFonts w:ascii="Arial" w:eastAsia="SimSu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FB53D5"/>
    <w:multiLevelType w:val="hybridMultilevel"/>
    <w:tmpl w:val="955EA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2E09A9"/>
    <w:multiLevelType w:val="hybridMultilevel"/>
    <w:tmpl w:val="6DA0022E"/>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5" w15:restartNumberingAfterBreak="0">
    <w:nsid w:val="57150FF6"/>
    <w:multiLevelType w:val="hybridMultilevel"/>
    <w:tmpl w:val="10CE2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7B40A9"/>
    <w:multiLevelType w:val="hybridMultilevel"/>
    <w:tmpl w:val="8ED06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B281C20"/>
    <w:multiLevelType w:val="hybridMultilevel"/>
    <w:tmpl w:val="902ECFD4"/>
    <w:lvl w:ilvl="0" w:tplc="A2AC4540">
      <w:start w:val="1"/>
      <w:numFmt w:val="bullet"/>
      <w:suff w:val="space"/>
      <w:lvlText w:val="-"/>
      <w:lvlJc w:val="left"/>
      <w:pPr>
        <w:ind w:left="113" w:hanging="113"/>
      </w:pPr>
      <w:rPr>
        <w:rFonts w:ascii="Arial" w:eastAsia="SimSu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E7"/>
    <w:rsid w:val="001B682E"/>
    <w:rsid w:val="0020228C"/>
    <w:rsid w:val="003252A2"/>
    <w:rsid w:val="004411D1"/>
    <w:rsid w:val="00484475"/>
    <w:rsid w:val="004C2A71"/>
    <w:rsid w:val="005121A2"/>
    <w:rsid w:val="006549FC"/>
    <w:rsid w:val="00731DC8"/>
    <w:rsid w:val="00822030"/>
    <w:rsid w:val="00851569"/>
    <w:rsid w:val="00876D38"/>
    <w:rsid w:val="00905819"/>
    <w:rsid w:val="00C24CCF"/>
    <w:rsid w:val="00CD0DEA"/>
    <w:rsid w:val="00F207E7"/>
    <w:rsid w:val="00F62F70"/>
    <w:rsid w:val="00FB2825"/>
    <w:rsid w:val="00FB5DE6"/>
    <w:rsid w:val="00FD7F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DB4B7"/>
  <w15:docId w15:val="{428F2B20-FFFC-48AA-8813-811E0454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Arial" w:eastAsia="Times New Roman" w:hAnsi="Arial" w:cs="Arial"/>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Encabezado">
    <w:name w:val="header"/>
    <w:basedOn w:val="Standard"/>
    <w:pPr>
      <w:tabs>
        <w:tab w:val="center" w:pos="4252"/>
        <w:tab w:val="right" w:pos="8504"/>
      </w:tabs>
    </w:pPr>
  </w:style>
  <w:style w:type="paragraph" w:styleId="Piedepgina">
    <w:name w:val="footer"/>
    <w:basedOn w:val="Standard"/>
    <w:link w:val="PiedepginaCar"/>
    <w:uiPriority w:val="99"/>
    <w:pPr>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odeglobo">
    <w:name w:val="Balloon Text"/>
    <w:basedOn w:val="Normal"/>
    <w:rPr>
      <w:rFonts w:ascii="Segoe UI" w:hAnsi="Segoe UI"/>
      <w:sz w:val="18"/>
      <w:szCs w:val="16"/>
    </w:rPr>
  </w:style>
  <w:style w:type="character" w:customStyle="1" w:styleId="TextdeglobusCar">
    <w:name w:val="Text de globus Car"/>
    <w:basedOn w:val="Fuentedeprrafopredeter"/>
    <w:rPr>
      <w:rFonts w:ascii="Segoe UI" w:hAnsi="Segoe UI"/>
      <w:sz w:val="18"/>
      <w:szCs w:val="16"/>
    </w:rPr>
  </w:style>
  <w:style w:type="paragraph" w:customStyle="1" w:styleId="Default">
    <w:name w:val="Default"/>
    <w:pPr>
      <w:widowControl/>
      <w:autoSpaceDE w:val="0"/>
      <w:textAlignment w:val="auto"/>
    </w:pPr>
    <w:rPr>
      <w:rFonts w:ascii="Arial" w:hAnsi="Arial" w:cs="Arial"/>
      <w:color w:val="000000"/>
      <w:kern w:val="0"/>
      <w:lang w:val="ca-ES" w:bidi="ar-SA"/>
    </w:rPr>
  </w:style>
  <w:style w:type="character" w:customStyle="1" w:styleId="PiedepginaCar">
    <w:name w:val="Pie de página Car"/>
    <w:basedOn w:val="Fuentedeprrafopredeter"/>
    <w:link w:val="Piedepgina"/>
    <w:uiPriority w:val="99"/>
    <w:rsid w:val="004411D1"/>
    <w:rPr>
      <w:rFonts w:ascii="Arial" w:eastAsia="Times New Roman" w:hAnsi="Arial" w:cs="Arial"/>
      <w:sz w:val="22"/>
      <w:szCs w:val="22"/>
      <w:lang w:bidi="ar-SA"/>
    </w:rPr>
  </w:style>
  <w:style w:type="paragraph" w:styleId="Prrafodelista">
    <w:name w:val="List Paragraph"/>
    <w:basedOn w:val="Normal"/>
    <w:uiPriority w:val="34"/>
    <w:qFormat/>
    <w:rsid w:val="00FB282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532</Words>
  <Characters>2928</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del Vendrell</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ansama</dc:creator>
  <cp:lastModifiedBy>Lluis Barbó</cp:lastModifiedBy>
  <cp:revision>12</cp:revision>
  <cp:lastPrinted>2020-07-22T08:54:00Z</cp:lastPrinted>
  <dcterms:created xsi:type="dcterms:W3CDTF">2024-02-23T13:55:00Z</dcterms:created>
  <dcterms:modified xsi:type="dcterms:W3CDTF">2025-07-15T09:50:00Z</dcterms:modified>
</cp:coreProperties>
</file>