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5A68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5F412B82" w14:textId="77777777" w:rsidR="00DE1D04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622F115C" w14:textId="77777777" w:rsidR="00856865" w:rsidRPr="00856865" w:rsidRDefault="003A2C74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21 DE GENER DE 2020</w:t>
      </w:r>
    </w:p>
    <w:p w14:paraId="42B9EF48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721D7678" w14:textId="77777777"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3A2C74" w:rsidRPr="003A2C74">
        <w:rPr>
          <w:rFonts w:cs="Arial"/>
          <w:lang w:val="ca-ES"/>
        </w:rPr>
        <w:t xml:space="preserve">JGL2020000002 </w:t>
      </w:r>
    </w:p>
    <w:p w14:paraId="6F56C736" w14:textId="77777777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6F2558ED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3A2C74">
        <w:rPr>
          <w:rFonts w:cs="Arial"/>
          <w:noProof/>
          <w:lang w:val="ca-ES"/>
        </w:rPr>
        <w:t>21 de gener de 2020</w:t>
      </w:r>
    </w:p>
    <w:p w14:paraId="06D1751C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3A2C74" w:rsidRPr="003A2C74">
        <w:rPr>
          <w:rFonts w:cs="Arial"/>
          <w:lang w:val="ca-ES"/>
        </w:rPr>
        <w:t>09:15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3A2C74" w:rsidRPr="003A2C74">
        <w:rPr>
          <w:rFonts w:cs="Arial"/>
          <w:lang w:val="ca-ES"/>
        </w:rPr>
        <w:t>09:37</w:t>
      </w:r>
      <w:r>
        <w:rPr>
          <w:rFonts w:cs="Arial"/>
          <w:lang w:val="ca-ES"/>
        </w:rPr>
        <w:t xml:space="preserve"> h</w:t>
      </w:r>
    </w:p>
    <w:p w14:paraId="2C867423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3A2C74" w:rsidRPr="003A2C74">
        <w:rPr>
          <w:rFonts w:cs="Arial"/>
          <w:lang w:val="ca-ES"/>
        </w:rPr>
        <w:t>Sessió Ordinària</w:t>
      </w:r>
    </w:p>
    <w:p w14:paraId="3D2228B3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62802787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69795157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6E3254A3" w14:textId="77777777" w:rsidR="00821143" w:rsidRDefault="003A2C74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3A2C74">
        <w:rPr>
          <w:rFonts w:cs="Arial"/>
          <w:lang w:val="ca-ES"/>
        </w:rPr>
        <w:t>Damia Clot Trias, Alcalde</w:t>
      </w:r>
      <w:r w:rsidRPr="003A2C74">
        <w:rPr>
          <w:rFonts w:cs="Arial"/>
          <w:lang w:val="ca-ES"/>
        </w:rPr>
        <w:cr/>
        <w:t>Núria Arasa Rovira, 1r Tinent D'alcalde</w:t>
      </w:r>
      <w:r w:rsidRPr="003A2C74">
        <w:rPr>
          <w:rFonts w:cs="Arial"/>
          <w:lang w:val="ca-ES"/>
        </w:rPr>
        <w:cr/>
        <w:t>Angel Font Catalan, 2n Tinent D'alcalde</w:t>
      </w:r>
      <w:r w:rsidRPr="003A2C74">
        <w:rPr>
          <w:rFonts w:cs="Arial"/>
          <w:lang w:val="ca-ES"/>
        </w:rPr>
        <w:cr/>
        <w:t>Josep Sole Clotet, 3r Tinent D'alcalde</w:t>
      </w:r>
      <w:r w:rsidRPr="003A2C74">
        <w:rPr>
          <w:rFonts w:cs="Arial"/>
          <w:lang w:val="ca-ES"/>
        </w:rPr>
        <w:cr/>
      </w:r>
      <w:proofErr w:type="spellStart"/>
      <w:r w:rsidR="00DE1D04" w:rsidRPr="003A2C74">
        <w:rPr>
          <w:rFonts w:cs="Arial"/>
          <w:lang w:val="ca-ES"/>
        </w:rPr>
        <w:t>Yabel</w:t>
      </w:r>
      <w:proofErr w:type="spellEnd"/>
      <w:r w:rsidR="00DE1D04" w:rsidRPr="003A2C74">
        <w:rPr>
          <w:rFonts w:cs="Arial"/>
          <w:lang w:val="ca-ES"/>
        </w:rPr>
        <w:t xml:space="preserve"> </w:t>
      </w:r>
      <w:proofErr w:type="spellStart"/>
      <w:r w:rsidR="00DE1D04" w:rsidRPr="003A2C74">
        <w:rPr>
          <w:rFonts w:cs="Arial"/>
          <w:lang w:val="ca-ES"/>
        </w:rPr>
        <w:t>Perez</w:t>
      </w:r>
      <w:proofErr w:type="spellEnd"/>
      <w:r w:rsidR="00DE1D04" w:rsidRPr="003A2C74">
        <w:rPr>
          <w:rFonts w:cs="Arial"/>
          <w:lang w:val="ca-ES"/>
        </w:rPr>
        <w:t xml:space="preserve"> Moreno, Autoritzat</w:t>
      </w:r>
      <w:r w:rsidR="00DE1D04" w:rsidRPr="003A2C74">
        <w:rPr>
          <w:rFonts w:cs="Arial"/>
          <w:lang w:val="ca-ES"/>
        </w:rPr>
        <w:cr/>
      </w:r>
      <w:r w:rsidR="00DE1D04">
        <w:rPr>
          <w:rFonts w:cs="Arial"/>
          <w:lang w:val="ca-ES"/>
        </w:rPr>
        <w:t xml:space="preserve">María de las Mercedes </w:t>
      </w:r>
      <w:proofErr w:type="spellStart"/>
      <w:r w:rsidR="00DE1D04">
        <w:rPr>
          <w:rFonts w:cs="Arial"/>
          <w:lang w:val="ca-ES"/>
        </w:rPr>
        <w:t>Gobartt</w:t>
      </w:r>
      <w:proofErr w:type="spellEnd"/>
      <w:r w:rsidR="00DE1D04">
        <w:rPr>
          <w:rFonts w:cs="Arial"/>
          <w:lang w:val="ca-ES"/>
        </w:rPr>
        <w:t xml:space="preserve"> Vázquez</w:t>
      </w:r>
    </w:p>
    <w:p w14:paraId="1BE5EFD9" w14:textId="77777777" w:rsidR="00821143" w:rsidRDefault="00821143" w:rsidP="00821143">
      <w:pPr>
        <w:rPr>
          <w:rFonts w:cs="Arial"/>
          <w:lang w:val="ca-ES"/>
        </w:rPr>
      </w:pPr>
    </w:p>
    <w:p w14:paraId="5F2F0A68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2AAF28ED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1CC1CA37" w14:textId="77777777" w:rsidR="00821143" w:rsidRDefault="003A2C74" w:rsidP="00821143">
      <w:pPr>
        <w:rPr>
          <w:rFonts w:cs="Arial"/>
          <w:lang w:val="ca-ES"/>
        </w:rPr>
      </w:pPr>
      <w:r w:rsidRPr="003A2C74">
        <w:rPr>
          <w:rFonts w:cs="Arial"/>
          <w:lang w:val="ca-ES"/>
        </w:rPr>
        <w:t>Montserrat Gual Gibert, 4t  Tinent D'alcalde</w:t>
      </w:r>
      <w:r w:rsidRPr="003A2C74">
        <w:rPr>
          <w:rFonts w:cs="Arial"/>
          <w:lang w:val="ca-ES"/>
        </w:rPr>
        <w:cr/>
        <w:t>Joan Roca Lleonart, 5è Tinent D'alcalde</w:t>
      </w:r>
      <w:r w:rsidRPr="003A2C74">
        <w:rPr>
          <w:rFonts w:cs="Arial"/>
          <w:lang w:val="ca-ES"/>
        </w:rPr>
        <w:cr/>
        <w:t>Maria Josep Lozano Pino, Interventora</w:t>
      </w:r>
    </w:p>
    <w:p w14:paraId="517769B6" w14:textId="77777777" w:rsidR="00821143" w:rsidRDefault="00821143" w:rsidP="00821143">
      <w:pPr>
        <w:rPr>
          <w:rFonts w:cs="Arial"/>
          <w:lang w:val="ca-ES"/>
        </w:rPr>
      </w:pPr>
    </w:p>
    <w:p w14:paraId="6D1F3AC3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621E4E43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3FAD5142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A90505" w14:paraId="33D49751" w14:textId="77777777" w:rsidTr="00A90505">
        <w:tc>
          <w:tcPr>
            <w:tcW w:w="9000" w:type="dxa"/>
          </w:tcPr>
          <w:p w14:paraId="7713208C" w14:textId="77777777" w:rsidR="00A90505" w:rsidRDefault="00A90505" w:rsidP="001B385B">
            <w:r>
              <w:t>1.- APROVACIÓ DE L'ACTA ANTERIOR DE LA SESSIÓ DEL DIA 14-01-2019</w:t>
            </w:r>
          </w:p>
        </w:tc>
      </w:tr>
      <w:tr w:rsidR="00A90505" w14:paraId="756F4DC5" w14:textId="77777777" w:rsidTr="00A90505">
        <w:tc>
          <w:tcPr>
            <w:tcW w:w="9000" w:type="dxa"/>
          </w:tcPr>
          <w:p w14:paraId="7DBDCD06" w14:textId="77777777" w:rsidR="00A90505" w:rsidRDefault="00A90505" w:rsidP="001B385B">
            <w:r>
              <w:t>2.- ADJUDICACIÓ DEL SERVEI DE GESTORIA I NÒMINES, EXPEDIENT X2019003557</w:t>
            </w:r>
          </w:p>
        </w:tc>
      </w:tr>
      <w:tr w:rsidR="00A90505" w14:paraId="1D2C9697" w14:textId="77777777" w:rsidTr="00A90505">
        <w:tc>
          <w:tcPr>
            <w:tcW w:w="9000" w:type="dxa"/>
          </w:tcPr>
          <w:p w14:paraId="4A0782AA" w14:textId="77777777" w:rsidR="00A90505" w:rsidRDefault="00A90505" w:rsidP="001B385B">
            <w:r>
              <w:t>3.- APROVACIÓ DE L'ADJUDICACIÓ DEL SERVEI DE MANTENIMENT DE JOCS INFANTILS. EXPEDIENT X2019004034.</w:t>
            </w:r>
          </w:p>
        </w:tc>
      </w:tr>
      <w:tr w:rsidR="00A90505" w14:paraId="758251E1" w14:textId="77777777" w:rsidTr="00A90505">
        <w:tc>
          <w:tcPr>
            <w:tcW w:w="9000" w:type="dxa"/>
          </w:tcPr>
          <w:p w14:paraId="5299E8BC" w14:textId="77777777" w:rsidR="00A90505" w:rsidRDefault="00A90505" w:rsidP="001B385B">
            <w:r>
              <w:t>4.- ACCEPTACIÓ DEL RECURS MATERIAL CONSISTENT EN LA CESSIÓ DE DUES BICICLETES ELÈCTRIQUES, EN EL MARC DEL CATÀLEG DE SERVEIS DE L’ANY 2018 DE LA DIPUTACIÓ DE BARCELONA EXP. X2018000847</w:t>
            </w:r>
          </w:p>
        </w:tc>
      </w:tr>
      <w:tr w:rsidR="00A90505" w14:paraId="51B16BE3" w14:textId="77777777" w:rsidTr="00A90505">
        <w:tc>
          <w:tcPr>
            <w:tcW w:w="9000" w:type="dxa"/>
          </w:tcPr>
          <w:p w14:paraId="238C1FEC" w14:textId="77777777" w:rsidR="00A90505" w:rsidRDefault="00A90505" w:rsidP="001B385B">
            <w:r>
              <w:t>5.- ACCEPTACIÓ DEL RECURS MATERIAL CONSISTENT EN LA CESSIÓ D’UNA BICICLETA ELÈCTRICA, EN EL MARC DEL CATÀLEG DE SERVEIS DE L’ANY 2019 DE LA DIPUTACIÓ DE BARCELONA EXP. X2019000459</w:t>
            </w:r>
          </w:p>
        </w:tc>
      </w:tr>
      <w:tr w:rsidR="00A90505" w14:paraId="66703EB8" w14:textId="77777777" w:rsidTr="00A90505">
        <w:tc>
          <w:tcPr>
            <w:tcW w:w="9000" w:type="dxa"/>
          </w:tcPr>
          <w:p w14:paraId="1E84C46D" w14:textId="77777777" w:rsidR="00A90505" w:rsidRDefault="00A90505" w:rsidP="001B385B">
            <w:r>
              <w:t>6.- PROPOSTA DE SANCIÓ D’EXPEDIENTS SANCIONADORS DE LA RELACIÓ 20000946 DE L'ORGT EXP. X2020000071</w:t>
            </w:r>
          </w:p>
        </w:tc>
      </w:tr>
      <w:tr w:rsidR="00A90505" w14:paraId="0B45A164" w14:textId="77777777" w:rsidTr="00A90505">
        <w:tc>
          <w:tcPr>
            <w:tcW w:w="9000" w:type="dxa"/>
          </w:tcPr>
          <w:p w14:paraId="7B2310BA" w14:textId="77777777" w:rsidR="00A90505" w:rsidRDefault="00A90505" w:rsidP="001B385B">
            <w:r>
              <w:t>7.- PROPOSTA DE SANCIÓ DE LA RELACIÓ 20002031 D'EXPEDIENTS SANCIONADORS DE L'ORGT EXP. X2020000286</w:t>
            </w:r>
          </w:p>
        </w:tc>
      </w:tr>
      <w:tr w:rsidR="00A90505" w14:paraId="703E3232" w14:textId="77777777" w:rsidTr="00A90505">
        <w:tc>
          <w:tcPr>
            <w:tcW w:w="9000" w:type="dxa"/>
          </w:tcPr>
          <w:p w14:paraId="094D2983" w14:textId="77777777" w:rsidR="00A90505" w:rsidRDefault="00A90505" w:rsidP="001B385B">
            <w:r>
              <w:t>8.- RESOLUCIÓ DEFINITIVA D’EXPEDIENT SANCIONADOR PER INFRACCIÓ DE LES ORDENANCES REGULADORES DE POLICIA I BON GOVERN (X2019003663)</w:t>
            </w:r>
          </w:p>
        </w:tc>
      </w:tr>
      <w:tr w:rsidR="00A90505" w14:paraId="545C42C7" w14:textId="77777777" w:rsidTr="00A90505">
        <w:tc>
          <w:tcPr>
            <w:tcW w:w="9000" w:type="dxa"/>
          </w:tcPr>
          <w:p w14:paraId="1D189D6E" w14:textId="77777777" w:rsidR="00A90505" w:rsidRDefault="00A90505" w:rsidP="001B385B">
            <w:r>
              <w:t>9.- RESOLUCIÓ DEFINITIVA D’EXPEDIENT SANCIONADOR PER INFRACCIÓ DE LES ORDENANCES REGULADORES DE POLICIA I BON GOVERN (X2019003669)</w:t>
            </w:r>
          </w:p>
        </w:tc>
      </w:tr>
      <w:tr w:rsidR="00A90505" w14:paraId="656CA1B9" w14:textId="77777777" w:rsidTr="00A90505">
        <w:tc>
          <w:tcPr>
            <w:tcW w:w="9000" w:type="dxa"/>
          </w:tcPr>
          <w:p w14:paraId="727AA082" w14:textId="77777777" w:rsidR="00A90505" w:rsidRDefault="00A90505" w:rsidP="001B385B">
            <w:r>
              <w:lastRenderedPageBreak/>
              <w:t>10.- RESOLUCIÓ DEFINITIVA D’EXPEDIENT SANCIONADOR PER INFRACCIÓ DE LES ORDENANCES REGULADORES DE POLICIA I BON GOVERN (X2019003911)</w:t>
            </w:r>
          </w:p>
        </w:tc>
      </w:tr>
      <w:tr w:rsidR="00A90505" w14:paraId="730A6AED" w14:textId="77777777" w:rsidTr="00A90505">
        <w:tc>
          <w:tcPr>
            <w:tcW w:w="9000" w:type="dxa"/>
          </w:tcPr>
          <w:p w14:paraId="138511D9" w14:textId="77777777" w:rsidR="00A90505" w:rsidRDefault="00A90505" w:rsidP="001B385B">
            <w:r>
              <w:t>11.- RESOLUCIÓ DEFINITIVA D’EXPEDIENT SANCIONADOR PER INFRACCIÓ DE LES ORDENANCES REGULADORES DE POLICIA I BON GOVERN (X2019003917)</w:t>
            </w:r>
          </w:p>
        </w:tc>
      </w:tr>
      <w:tr w:rsidR="00A90505" w14:paraId="455B70C7" w14:textId="77777777" w:rsidTr="00A90505">
        <w:tc>
          <w:tcPr>
            <w:tcW w:w="9000" w:type="dxa"/>
          </w:tcPr>
          <w:p w14:paraId="71B4EFAB" w14:textId="77777777" w:rsidR="00A90505" w:rsidRDefault="00A90505" w:rsidP="001B385B">
            <w:r>
              <w:t>12.- SOBRESEÏMENT D’EXPEDIENT SANCIONADOR DE TRÀNSIT 16234-P EXP. X2020000168</w:t>
            </w:r>
          </w:p>
        </w:tc>
      </w:tr>
      <w:tr w:rsidR="00A90505" w14:paraId="535C2FA1" w14:textId="77777777" w:rsidTr="00A90505">
        <w:tc>
          <w:tcPr>
            <w:tcW w:w="9000" w:type="dxa"/>
          </w:tcPr>
          <w:p w14:paraId="60024D4B" w14:textId="77777777" w:rsidR="00A90505" w:rsidRDefault="00A90505" w:rsidP="001B385B">
            <w:r>
              <w:t>13.- DEVOLUCIÓ DE LA FIANÇA QUE GARANTEIX LA RETIRADA DE LES INSTAL·LACIONS I DELS SEUS COMPONENTS PER EXPLOTACIÓ DEL QUIOSC NÚMERO 5 SITUAT A LA PLATJA, TEMPORADA 2019, A PLOU SENSE CONEIXEMENT, S.L. EXP. X2018000714</w:t>
            </w:r>
          </w:p>
        </w:tc>
      </w:tr>
      <w:tr w:rsidR="00A90505" w14:paraId="0933901F" w14:textId="77777777" w:rsidTr="00A90505">
        <w:tc>
          <w:tcPr>
            <w:tcW w:w="9000" w:type="dxa"/>
          </w:tcPr>
          <w:p w14:paraId="129C1739" w14:textId="77777777" w:rsidR="00A90505" w:rsidRDefault="00A90505" w:rsidP="001B385B">
            <w:r>
              <w:t>14.- FORA DE L'ORDRE DEL DIA</w:t>
            </w:r>
          </w:p>
        </w:tc>
      </w:tr>
      <w:tr w:rsidR="00A90505" w14:paraId="3D387902" w14:textId="77777777" w:rsidTr="00A90505">
        <w:tc>
          <w:tcPr>
            <w:tcW w:w="9000" w:type="dxa"/>
          </w:tcPr>
          <w:p w14:paraId="1A2CA166" w14:textId="77777777" w:rsidR="00A90505" w:rsidRDefault="00A90505" w:rsidP="001B385B">
            <w:r>
              <w:t>15.- DONAR COMPTE DELS DECRETS D'ALCALDIA DES DEL NÚM. 25/2020 AL NÚM. 129/2020</w:t>
            </w:r>
          </w:p>
        </w:tc>
      </w:tr>
    </w:tbl>
    <w:p w14:paraId="3A8708FC" w14:textId="77777777" w:rsidR="00821CA1" w:rsidRDefault="00821CA1" w:rsidP="00821CA1"/>
    <w:p w14:paraId="69707B6B" w14:textId="77777777" w:rsidR="007B3E03" w:rsidRDefault="007B3E03" w:rsidP="00821CA1">
      <w:pPr>
        <w:rPr>
          <w:rFonts w:cs="Arial"/>
          <w:lang w:val="ca-ES"/>
        </w:rPr>
      </w:pPr>
    </w:p>
    <w:p w14:paraId="1B3BA9D7" w14:textId="77777777" w:rsidR="001B385B" w:rsidRDefault="00A90505" w:rsidP="00A90505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1.0.- APROVACIÓ DE L'ACTA ANTERIOR DE LA SESSIÓ DEL DIA 14-01-2019</w:t>
      </w:r>
    </w:p>
    <w:p w14:paraId="5AEF5B25" w14:textId="77777777" w:rsidR="001B385B" w:rsidRDefault="001B385B" w:rsidP="00A90505">
      <w:pPr>
        <w:rPr>
          <w:rFonts w:cs="Arial"/>
          <w:b/>
          <w:lang w:val="ca-ES"/>
        </w:rPr>
      </w:pPr>
    </w:p>
    <w:p w14:paraId="2B888391" w14:textId="77777777" w:rsidR="001B385B" w:rsidRDefault="001B385B" w:rsidP="001B38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manifesta</w:t>
      </w:r>
      <w:proofErr w:type="spellEnd"/>
      <w:r>
        <w:rPr>
          <w:sz w:val="22"/>
          <w:szCs w:val="22"/>
        </w:rPr>
        <w:t xml:space="preserve"> que si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presents</w:t>
      </w:r>
      <w:proofErr w:type="spellEnd"/>
      <w:r>
        <w:rPr>
          <w:sz w:val="22"/>
          <w:szCs w:val="22"/>
        </w:rPr>
        <w:t xml:space="preserve"> no té </w:t>
      </w:r>
      <w:proofErr w:type="spellStart"/>
      <w:r>
        <w:rPr>
          <w:sz w:val="22"/>
          <w:szCs w:val="22"/>
        </w:rPr>
        <w:t>objecció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fer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contingut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l’acta</w:t>
      </w:r>
      <w:proofErr w:type="spellEnd"/>
      <w:r>
        <w:rPr>
          <w:sz w:val="22"/>
          <w:szCs w:val="22"/>
        </w:rPr>
        <w:t xml:space="preserve"> anterior del </w:t>
      </w:r>
      <w:proofErr w:type="spellStart"/>
      <w:r>
        <w:rPr>
          <w:sz w:val="22"/>
          <w:szCs w:val="22"/>
        </w:rPr>
        <w:t>dia</w:t>
      </w:r>
      <w:proofErr w:type="spellEnd"/>
      <w:r>
        <w:rPr>
          <w:sz w:val="22"/>
          <w:szCs w:val="22"/>
        </w:rPr>
        <w:t xml:space="preserve"> 14 de </w:t>
      </w:r>
      <w:proofErr w:type="spellStart"/>
      <w:r>
        <w:rPr>
          <w:sz w:val="22"/>
          <w:szCs w:val="22"/>
        </w:rPr>
        <w:t>gener</w:t>
      </w:r>
      <w:proofErr w:type="spellEnd"/>
      <w:r>
        <w:rPr>
          <w:sz w:val="22"/>
          <w:szCs w:val="22"/>
        </w:rPr>
        <w:t xml:space="preserve"> de 2020, es </w:t>
      </w:r>
      <w:proofErr w:type="spellStart"/>
      <w:r>
        <w:rPr>
          <w:sz w:val="22"/>
          <w:szCs w:val="22"/>
        </w:rPr>
        <w:t>procedirà</w:t>
      </w:r>
      <w:proofErr w:type="spellEnd"/>
      <w:r>
        <w:rPr>
          <w:sz w:val="22"/>
          <w:szCs w:val="22"/>
        </w:rPr>
        <w:t xml:space="preserve"> a la </w:t>
      </w:r>
      <w:proofErr w:type="spellStart"/>
      <w:r>
        <w:rPr>
          <w:sz w:val="22"/>
          <w:szCs w:val="22"/>
        </w:rPr>
        <w:t>seva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aprovació</w:t>
      </w:r>
      <w:proofErr w:type="spellEnd"/>
      <w:r>
        <w:rPr>
          <w:sz w:val="22"/>
          <w:szCs w:val="22"/>
        </w:rPr>
        <w:t xml:space="preserve">. </w:t>
      </w:r>
    </w:p>
    <w:p w14:paraId="2F2C2572" w14:textId="77777777" w:rsidR="001B385B" w:rsidRPr="006975A5" w:rsidRDefault="001B385B" w:rsidP="001B385B">
      <w:pPr>
        <w:pStyle w:val="Default"/>
        <w:rPr>
          <w:sz w:val="22"/>
          <w:szCs w:val="22"/>
        </w:rPr>
      </w:pPr>
    </w:p>
    <w:p w14:paraId="4BA5631A" w14:textId="77777777" w:rsidR="001B385B" w:rsidRDefault="001B385B" w:rsidP="001B385B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S'aprova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unanimitat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dels</w:t>
      </w:r>
      <w:proofErr w:type="spellEnd"/>
      <w:r>
        <w:rPr>
          <w:sz w:val="22"/>
          <w:szCs w:val="22"/>
        </w:rPr>
        <w:t xml:space="preserve"> membres </w:t>
      </w:r>
      <w:proofErr w:type="spellStart"/>
      <w:r>
        <w:rPr>
          <w:sz w:val="22"/>
          <w:szCs w:val="22"/>
        </w:rPr>
        <w:t>presents</w:t>
      </w:r>
      <w:proofErr w:type="spellEnd"/>
    </w:p>
    <w:p w14:paraId="22D7AA5F" w14:textId="77777777" w:rsidR="001B385B" w:rsidRDefault="001B385B" w:rsidP="001B385B">
      <w:pPr>
        <w:pStyle w:val="Default"/>
        <w:rPr>
          <w:sz w:val="22"/>
          <w:szCs w:val="22"/>
        </w:rPr>
      </w:pPr>
    </w:p>
    <w:p w14:paraId="46AFD4C1" w14:textId="77777777" w:rsidR="00A90505" w:rsidRDefault="00A90505" w:rsidP="00A90505">
      <w:pPr>
        <w:rPr>
          <w:rFonts w:cs="Arial"/>
          <w:lang w:val="ca-ES"/>
        </w:rPr>
      </w:pPr>
    </w:p>
    <w:p w14:paraId="6281CC93" w14:textId="77777777" w:rsidR="00A90505" w:rsidRDefault="00A90505" w:rsidP="00A90505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ADJUDICACIÓ DEL SERVEI DE GESTORIA I NÒMINES, EXPEDIENT X2019003557</w:t>
      </w:r>
    </w:p>
    <w:p w14:paraId="289202CA" w14:textId="77777777" w:rsidR="00A90505" w:rsidRPr="00117092" w:rsidRDefault="00A90505" w:rsidP="0025654E">
      <w:pPr>
        <w:rPr>
          <w:lang w:val="ca-ES"/>
        </w:rPr>
      </w:pPr>
      <w:bookmarkStart w:id="0" w:name="X2019003557"/>
    </w:p>
    <w:p w14:paraId="0FF1AAB6" w14:textId="77777777" w:rsidR="00A90505" w:rsidRDefault="00A90505" w:rsidP="005514A5">
      <w:pPr>
        <w:spacing w:line="276" w:lineRule="auto"/>
        <w:rPr>
          <w:b/>
          <w:bCs/>
          <w:kern w:val="22"/>
          <w:lang w:val="ca-ES" w:eastAsia="es-ES"/>
        </w:rPr>
      </w:pPr>
      <w:r w:rsidRPr="007B5139">
        <w:rPr>
          <w:b/>
          <w:bCs/>
          <w:kern w:val="22"/>
          <w:lang w:val="ca-ES" w:eastAsia="es-ES"/>
        </w:rPr>
        <w:t>S’ACORDA:  </w:t>
      </w:r>
    </w:p>
    <w:p w14:paraId="452EB1B4" w14:textId="77777777" w:rsidR="00A90505" w:rsidRDefault="00A90505" w:rsidP="005514A5">
      <w:pPr>
        <w:spacing w:line="276" w:lineRule="auto"/>
        <w:rPr>
          <w:b/>
          <w:bCs/>
          <w:kern w:val="22"/>
          <w:lang w:val="ca-ES" w:eastAsia="es-ES"/>
        </w:rPr>
      </w:pPr>
    </w:p>
    <w:p w14:paraId="2B6418F7" w14:textId="77777777" w:rsidR="00A90505" w:rsidRPr="007B5139" w:rsidRDefault="00A90505" w:rsidP="005514A5">
      <w:pPr>
        <w:spacing w:line="276" w:lineRule="auto"/>
        <w:rPr>
          <w:b/>
          <w:bCs/>
          <w:kern w:val="22"/>
          <w:lang w:val="ca-ES" w:eastAsia="es-ES"/>
        </w:rPr>
      </w:pPr>
      <w:r w:rsidRPr="00C22036">
        <w:rPr>
          <w:b/>
          <w:bCs/>
          <w:lang w:val="ca-ES" w:eastAsia="es-ES"/>
        </w:rPr>
        <w:t>Primer</w:t>
      </w:r>
      <w:r>
        <w:rPr>
          <w:lang w:val="ca-ES" w:eastAsia="es-ES"/>
        </w:rPr>
        <w:t xml:space="preserve">. Declarar exclosa l'oferta presentada per la mercantil </w:t>
      </w:r>
      <w:r w:rsidRPr="007C4EA5">
        <w:rPr>
          <w:lang w:val="ca-ES" w:eastAsia="es-ES_tradnl"/>
        </w:rPr>
        <w:t>SENEOR GESTION LABORAL, SL</w:t>
      </w:r>
      <w:r>
        <w:rPr>
          <w:lang w:val="ca-ES" w:eastAsia="es-ES"/>
        </w:rPr>
        <w:t xml:space="preserve"> per </w:t>
      </w:r>
      <w:r w:rsidRPr="007C4EA5">
        <w:rPr>
          <w:lang w:val="ca-ES" w:eastAsia="es-ES_tradnl"/>
        </w:rPr>
        <w:t>considerar-se l'oferta anormal o desproporcionada</w:t>
      </w:r>
      <w:r>
        <w:rPr>
          <w:lang w:val="ca-ES" w:eastAsia="es-ES_tradnl"/>
        </w:rPr>
        <w:t>.</w:t>
      </w:r>
    </w:p>
    <w:p w14:paraId="3A1E75A7" w14:textId="77777777" w:rsidR="00A90505" w:rsidRPr="002602EF" w:rsidRDefault="00A90505" w:rsidP="005514A5">
      <w:pPr>
        <w:spacing w:line="276" w:lineRule="auto"/>
        <w:rPr>
          <w:highlight w:val="yellow"/>
          <w:lang w:val="ca-ES" w:eastAsia="es-ES"/>
        </w:rPr>
      </w:pPr>
    </w:p>
    <w:p w14:paraId="3D944ACE" w14:textId="77777777" w:rsidR="00A90505" w:rsidRPr="00242DCF" w:rsidRDefault="00A90505" w:rsidP="005514A5">
      <w:pPr>
        <w:spacing w:line="276" w:lineRule="auto"/>
        <w:rPr>
          <w:lang w:val="ca-ES" w:eastAsia="es-ES"/>
        </w:rPr>
      </w:pPr>
      <w:r>
        <w:rPr>
          <w:b/>
          <w:bCs/>
          <w:lang w:val="ca-ES" w:eastAsia="es-ES"/>
        </w:rPr>
        <w:t>Segon.</w:t>
      </w:r>
      <w:r w:rsidRPr="00242DCF">
        <w:rPr>
          <w:lang w:val="ca-ES" w:eastAsia="es-ES"/>
        </w:rPr>
        <w:t xml:space="preserve"> </w:t>
      </w:r>
      <w:r w:rsidRPr="00242DCF">
        <w:rPr>
          <w:lang w:val="ca-ES"/>
        </w:rPr>
        <w:t>Aprovar la classificació de les ofertes presentades, d'acord amb la proposta formulada per la mesa de contractació en data 10 de desembre de 2019:</w:t>
      </w: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762"/>
        <w:gridCol w:w="4709"/>
        <w:gridCol w:w="1204"/>
        <w:gridCol w:w="1275"/>
      </w:tblGrid>
      <w:tr w:rsidR="00A90505" w:rsidRPr="006E10C3" w14:paraId="4663C970" w14:textId="77777777" w:rsidTr="005514A5">
        <w:trPr>
          <w:trHeight w:val="2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115" w14:textId="77777777" w:rsidR="00A90505" w:rsidRPr="006E10C3" w:rsidRDefault="00A90505" w:rsidP="005514A5">
            <w:pPr>
              <w:spacing w:after="120" w:line="276" w:lineRule="auto"/>
              <w:ind w:left="4"/>
              <w:jc w:val="center"/>
              <w:rPr>
                <w:b/>
                <w:bCs/>
                <w:sz w:val="18"/>
                <w:szCs w:val="18"/>
                <w:lang w:val="ca-ES"/>
              </w:rPr>
            </w:pPr>
            <w:r w:rsidRPr="006E10C3">
              <w:rPr>
                <w:b/>
                <w:bCs/>
                <w:sz w:val="18"/>
                <w:szCs w:val="18"/>
                <w:lang w:val="ca-ES"/>
              </w:rPr>
              <w:t>Class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C112" w14:textId="77777777" w:rsidR="00A90505" w:rsidRPr="006E10C3" w:rsidRDefault="00A90505" w:rsidP="005514A5">
            <w:pPr>
              <w:spacing w:after="120" w:line="276" w:lineRule="auto"/>
              <w:ind w:left="91"/>
              <w:jc w:val="center"/>
              <w:rPr>
                <w:b/>
                <w:bCs/>
                <w:sz w:val="18"/>
                <w:szCs w:val="18"/>
                <w:lang w:val="ca-ES"/>
              </w:rPr>
            </w:pPr>
            <w:r w:rsidRPr="006E10C3">
              <w:rPr>
                <w:b/>
                <w:bCs/>
                <w:sz w:val="18"/>
                <w:szCs w:val="18"/>
                <w:lang w:val="ca-ES"/>
              </w:rPr>
              <w:t>Oferta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C5DB" w14:textId="77777777" w:rsidR="00A90505" w:rsidRPr="006E10C3" w:rsidRDefault="00A90505" w:rsidP="005514A5">
            <w:pPr>
              <w:spacing w:after="120" w:line="276" w:lineRule="auto"/>
              <w:ind w:left="567"/>
              <w:jc w:val="center"/>
              <w:rPr>
                <w:b/>
                <w:bCs/>
                <w:sz w:val="18"/>
                <w:szCs w:val="18"/>
                <w:lang w:val="ca-ES"/>
              </w:rPr>
            </w:pPr>
            <w:r w:rsidRPr="006E10C3">
              <w:rPr>
                <w:b/>
                <w:bCs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0ED7" w14:textId="77777777" w:rsidR="00A90505" w:rsidRPr="006E10C3" w:rsidRDefault="00A90505" w:rsidP="005514A5">
            <w:pPr>
              <w:spacing w:after="120" w:line="276" w:lineRule="auto"/>
              <w:ind w:left="154"/>
              <w:jc w:val="center"/>
              <w:rPr>
                <w:b/>
                <w:bCs/>
                <w:sz w:val="18"/>
                <w:szCs w:val="18"/>
                <w:lang w:val="ca-ES"/>
              </w:rPr>
            </w:pPr>
            <w:r w:rsidRPr="006E10C3">
              <w:rPr>
                <w:b/>
                <w:bCs/>
                <w:sz w:val="18"/>
                <w:szCs w:val="18"/>
                <w:lang w:val="ca-ES"/>
              </w:rPr>
              <w:t>Oferta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355B" w14:textId="77777777" w:rsidR="00A90505" w:rsidRPr="006E10C3" w:rsidRDefault="00A90505" w:rsidP="005514A5">
            <w:pPr>
              <w:spacing w:after="120" w:line="276" w:lineRule="auto"/>
              <w:jc w:val="center"/>
              <w:rPr>
                <w:b/>
                <w:bCs/>
                <w:sz w:val="18"/>
                <w:szCs w:val="18"/>
                <w:lang w:val="ca-ES"/>
              </w:rPr>
            </w:pPr>
            <w:r w:rsidRPr="006E10C3">
              <w:rPr>
                <w:b/>
                <w:bCs/>
                <w:sz w:val="18"/>
                <w:szCs w:val="18"/>
                <w:lang w:val="ca-ES"/>
              </w:rPr>
              <w:t>Puntuació</w:t>
            </w:r>
          </w:p>
        </w:tc>
      </w:tr>
      <w:tr w:rsidR="00A90505" w:rsidRPr="006E10C3" w14:paraId="14271B84" w14:textId="77777777" w:rsidTr="005514A5">
        <w:trPr>
          <w:trHeight w:val="26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E4F" w14:textId="77777777" w:rsidR="00A90505" w:rsidRPr="006E10C3" w:rsidRDefault="00A90505" w:rsidP="005514A5">
            <w:pPr>
              <w:spacing w:after="120" w:line="276" w:lineRule="auto"/>
              <w:ind w:left="4"/>
              <w:jc w:val="right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1ª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279F" w14:textId="77777777" w:rsidR="00A90505" w:rsidRPr="006E10C3" w:rsidRDefault="00A90505" w:rsidP="005514A5">
            <w:pPr>
              <w:spacing w:after="120" w:line="276" w:lineRule="auto"/>
              <w:ind w:left="91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1.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E064" w14:textId="77777777" w:rsidR="00A90505" w:rsidRPr="006E10C3" w:rsidRDefault="00A90505" w:rsidP="005514A5">
            <w:pPr>
              <w:spacing w:after="120" w:line="276" w:lineRule="auto"/>
              <w:ind w:left="71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MARTÍNEZ Y LILLO, SL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502A" w14:textId="77777777" w:rsidR="00A90505" w:rsidRPr="006E10C3" w:rsidRDefault="00A90505" w:rsidP="005514A5">
            <w:pPr>
              <w:spacing w:after="120" w:line="276" w:lineRule="auto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21.600,00 €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5491" w14:textId="77777777" w:rsidR="00A90505" w:rsidRPr="006E10C3" w:rsidRDefault="00A90505" w:rsidP="005514A5">
            <w:pPr>
              <w:spacing w:after="120" w:line="276" w:lineRule="auto"/>
              <w:ind w:left="240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100,00</w:t>
            </w:r>
          </w:p>
        </w:tc>
      </w:tr>
      <w:tr w:rsidR="00A90505" w:rsidRPr="006E10C3" w14:paraId="0F61B351" w14:textId="77777777" w:rsidTr="005514A5">
        <w:trPr>
          <w:trHeight w:val="264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74C74" w14:textId="77777777" w:rsidR="00A90505" w:rsidRPr="006E10C3" w:rsidRDefault="00A90505" w:rsidP="005514A5">
            <w:pPr>
              <w:spacing w:after="120" w:line="276" w:lineRule="auto"/>
              <w:ind w:left="4"/>
              <w:jc w:val="right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2ª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CCC25" w14:textId="77777777" w:rsidR="00A90505" w:rsidRPr="006E10C3" w:rsidRDefault="00A90505" w:rsidP="005514A5">
            <w:pPr>
              <w:spacing w:after="120" w:line="276" w:lineRule="auto"/>
              <w:ind w:left="91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3.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05E4A" w14:textId="77777777" w:rsidR="00A90505" w:rsidRPr="006E10C3" w:rsidRDefault="00A90505" w:rsidP="005514A5">
            <w:pPr>
              <w:spacing w:after="120" w:line="276" w:lineRule="auto"/>
              <w:ind w:left="71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FORNELLS CONSULTORS, SLP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BE153A" w14:textId="77777777" w:rsidR="00A90505" w:rsidRPr="006E10C3" w:rsidRDefault="00A90505" w:rsidP="005514A5">
            <w:pPr>
              <w:spacing w:after="120" w:line="276" w:lineRule="auto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22.310,40 €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10B77" w14:textId="77777777" w:rsidR="00A90505" w:rsidRPr="006E10C3" w:rsidRDefault="00A90505" w:rsidP="005514A5">
            <w:pPr>
              <w:spacing w:after="120" w:line="276" w:lineRule="auto"/>
              <w:ind w:left="240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93,50</w:t>
            </w:r>
          </w:p>
        </w:tc>
      </w:tr>
      <w:tr w:rsidR="00A90505" w:rsidRPr="006E10C3" w14:paraId="78D232D0" w14:textId="77777777" w:rsidTr="005514A5">
        <w:trPr>
          <w:trHeight w:val="26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129" w14:textId="77777777" w:rsidR="00A90505" w:rsidRPr="006E10C3" w:rsidRDefault="00A90505" w:rsidP="005514A5">
            <w:pPr>
              <w:spacing w:after="120" w:line="276" w:lineRule="auto"/>
              <w:ind w:left="4"/>
              <w:jc w:val="right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3ª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8775A" w14:textId="77777777" w:rsidR="00A90505" w:rsidRPr="006E10C3" w:rsidRDefault="00A90505" w:rsidP="005514A5">
            <w:pPr>
              <w:spacing w:after="120" w:line="276" w:lineRule="auto"/>
              <w:ind w:left="91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2.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7A026" w14:textId="77777777" w:rsidR="00A90505" w:rsidRPr="006E10C3" w:rsidRDefault="00A90505" w:rsidP="005514A5">
            <w:pPr>
              <w:spacing w:after="120" w:line="276" w:lineRule="auto"/>
              <w:ind w:left="71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ARC, DESPATX D'ADVOCATS I CONSULTORS, SLP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D39" w14:textId="77777777" w:rsidR="00A90505" w:rsidRPr="006E10C3" w:rsidRDefault="00A90505" w:rsidP="005514A5">
            <w:pPr>
              <w:spacing w:after="120" w:line="276" w:lineRule="auto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22.560,00 €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19F20" w14:textId="77777777" w:rsidR="00A90505" w:rsidRPr="006E10C3" w:rsidRDefault="00A90505" w:rsidP="005514A5">
            <w:pPr>
              <w:spacing w:after="120" w:line="276" w:lineRule="auto"/>
              <w:ind w:left="240"/>
              <w:jc w:val="center"/>
              <w:rPr>
                <w:sz w:val="18"/>
                <w:szCs w:val="18"/>
                <w:lang w:val="ca-ES"/>
              </w:rPr>
            </w:pPr>
            <w:r w:rsidRPr="006E10C3">
              <w:rPr>
                <w:sz w:val="18"/>
                <w:szCs w:val="18"/>
                <w:lang w:val="ca-ES"/>
              </w:rPr>
              <w:t>91,21</w:t>
            </w:r>
          </w:p>
        </w:tc>
      </w:tr>
    </w:tbl>
    <w:p w14:paraId="32F44B80" w14:textId="77777777" w:rsidR="00A90505" w:rsidRDefault="00A90505" w:rsidP="005514A5">
      <w:pPr>
        <w:spacing w:line="276" w:lineRule="auto"/>
        <w:rPr>
          <w:highlight w:val="yellow"/>
          <w:lang w:val="ca-ES" w:eastAsia="es-ES"/>
        </w:rPr>
      </w:pPr>
    </w:p>
    <w:p w14:paraId="610143BE" w14:textId="77777777" w:rsidR="00A90505" w:rsidRPr="005442C8" w:rsidRDefault="00A90505" w:rsidP="005514A5">
      <w:pPr>
        <w:spacing w:line="276" w:lineRule="auto"/>
        <w:rPr>
          <w:lang w:val="ca-ES" w:eastAsia="es-ES"/>
        </w:rPr>
      </w:pPr>
      <w:r w:rsidRPr="005442C8">
        <w:rPr>
          <w:b/>
          <w:bCs/>
          <w:lang w:val="ca-ES" w:eastAsia="es-ES"/>
        </w:rPr>
        <w:t>Tercer</w:t>
      </w:r>
      <w:r>
        <w:rPr>
          <w:b/>
          <w:bCs/>
          <w:lang w:val="ca-ES" w:eastAsia="es-ES"/>
        </w:rPr>
        <w:t>.</w:t>
      </w:r>
      <w:r w:rsidRPr="005442C8">
        <w:rPr>
          <w:lang w:val="ca-ES" w:eastAsia="es-ES"/>
        </w:rPr>
        <w:t xml:space="preserve"> Acceptar la renúncia presentada per l’empresa Martínez y Lillo, S.L. en data 23 de desembre, </w:t>
      </w:r>
      <w:r>
        <w:rPr>
          <w:lang w:val="ca-ES" w:eastAsia="es-ES"/>
        </w:rPr>
        <w:t>per assenyalar l'empresa que no compleix amb els requisits de capacitat i solvència</w:t>
      </w:r>
      <w:r w:rsidRPr="005442C8">
        <w:rPr>
          <w:lang w:val="ca-ES" w:eastAsia="es-ES"/>
        </w:rPr>
        <w:t xml:space="preserve"> per contractar d’acord amb el plec de clàusules administratives particulars.</w:t>
      </w:r>
    </w:p>
    <w:p w14:paraId="0890AC7D" w14:textId="77777777" w:rsidR="00A90505" w:rsidRDefault="00A90505" w:rsidP="005514A5">
      <w:pPr>
        <w:spacing w:line="276" w:lineRule="auto"/>
        <w:rPr>
          <w:highlight w:val="yellow"/>
          <w:lang w:val="ca-ES" w:eastAsia="es-ES"/>
        </w:rPr>
      </w:pPr>
    </w:p>
    <w:p w14:paraId="3135F06F" w14:textId="77777777" w:rsidR="00A90505" w:rsidRDefault="00A90505" w:rsidP="005514A5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>Quart.</w:t>
      </w:r>
      <w:r w:rsidRPr="00571D88">
        <w:rPr>
          <w:sz w:val="22"/>
          <w:szCs w:val="22"/>
          <w:lang w:val="ca-ES"/>
        </w:rPr>
        <w:t xml:space="preserve"> </w:t>
      </w:r>
      <w:r w:rsidRPr="00571D88">
        <w:rPr>
          <w:bCs/>
          <w:color w:val="auto"/>
          <w:sz w:val="22"/>
          <w:szCs w:val="22"/>
          <w:lang w:val="ca-ES"/>
        </w:rPr>
        <w:t xml:space="preserve">Adjudicar el contracte de </w:t>
      </w:r>
      <w:r w:rsidRPr="00571D88">
        <w:rPr>
          <w:sz w:val="22"/>
          <w:szCs w:val="22"/>
          <w:lang w:val="ca-ES"/>
        </w:rPr>
        <w:t>Servei de gestió de nòmines i assessoria laboral per</w:t>
      </w:r>
      <w:r w:rsidRPr="00242DCF">
        <w:rPr>
          <w:sz w:val="22"/>
          <w:szCs w:val="22"/>
          <w:lang w:val="ca-ES"/>
        </w:rPr>
        <w:t xml:space="preserve"> a l’Ajuntament de Vilassar de Mar</w:t>
      </w:r>
      <w:r w:rsidRPr="00242DCF">
        <w:rPr>
          <w:color w:val="auto"/>
          <w:sz w:val="22"/>
          <w:szCs w:val="22"/>
          <w:lang w:val="ca-ES"/>
        </w:rPr>
        <w:t xml:space="preserve"> </w:t>
      </w:r>
      <w:r>
        <w:rPr>
          <w:color w:val="auto"/>
          <w:sz w:val="22"/>
          <w:szCs w:val="22"/>
          <w:lang w:val="ca-ES"/>
        </w:rPr>
        <w:t xml:space="preserve">a la segona classificada, </w:t>
      </w:r>
      <w:r w:rsidRPr="00242DCF">
        <w:rPr>
          <w:color w:val="auto"/>
          <w:sz w:val="22"/>
          <w:szCs w:val="22"/>
          <w:lang w:val="ca-ES"/>
        </w:rPr>
        <w:t xml:space="preserve">la mercantil Fornell Consultors, S.L.P., per un import de </w:t>
      </w:r>
      <w:r w:rsidRPr="00571D88">
        <w:rPr>
          <w:b/>
          <w:bCs/>
          <w:sz w:val="22"/>
          <w:szCs w:val="22"/>
          <w:lang w:val="ca-ES"/>
        </w:rPr>
        <w:t xml:space="preserve">26.995,58 </w:t>
      </w:r>
      <w:r w:rsidRPr="00571D88">
        <w:rPr>
          <w:b/>
          <w:bCs/>
          <w:color w:val="auto"/>
          <w:sz w:val="22"/>
          <w:szCs w:val="22"/>
          <w:lang w:val="ca-ES"/>
        </w:rPr>
        <w:t>euros</w:t>
      </w:r>
      <w:r w:rsidRPr="00242DCF">
        <w:rPr>
          <w:bCs/>
          <w:color w:val="auto"/>
          <w:sz w:val="22"/>
          <w:szCs w:val="22"/>
          <w:lang w:val="ca-ES"/>
        </w:rPr>
        <w:t xml:space="preserve"> (2</w:t>
      </w:r>
      <w:r>
        <w:rPr>
          <w:bCs/>
          <w:color w:val="auto"/>
          <w:sz w:val="22"/>
          <w:szCs w:val="22"/>
          <w:lang w:val="ca-ES"/>
        </w:rPr>
        <w:t>2.310,40 euros + 21</w:t>
      </w:r>
      <w:r w:rsidRPr="00242DCF">
        <w:rPr>
          <w:bCs/>
          <w:color w:val="auto"/>
          <w:sz w:val="22"/>
          <w:szCs w:val="22"/>
          <w:lang w:val="ca-ES"/>
        </w:rPr>
        <w:t>% d’IVA</w:t>
      </w:r>
      <w:r>
        <w:rPr>
          <w:bCs/>
          <w:color w:val="auto"/>
          <w:sz w:val="22"/>
          <w:szCs w:val="22"/>
          <w:lang w:val="ca-ES"/>
        </w:rPr>
        <w:t>: 4.685,18 euros)</w:t>
      </w:r>
      <w:r w:rsidRPr="00242DCF">
        <w:rPr>
          <w:bCs/>
          <w:color w:val="auto"/>
          <w:sz w:val="22"/>
          <w:szCs w:val="22"/>
          <w:lang w:val="ca-ES"/>
        </w:rPr>
        <w:t xml:space="preserve"> amb </w:t>
      </w:r>
      <w:r>
        <w:rPr>
          <w:bCs/>
          <w:color w:val="auto"/>
          <w:sz w:val="22"/>
          <w:szCs w:val="22"/>
          <w:lang w:val="ca-ES"/>
        </w:rPr>
        <w:t>el següent desglossament</w:t>
      </w:r>
      <w:r w:rsidRPr="00242DCF">
        <w:rPr>
          <w:bCs/>
          <w:color w:val="auto"/>
          <w:sz w:val="22"/>
          <w:szCs w:val="22"/>
          <w:lang w:val="ca-E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1684"/>
        <w:gridCol w:w="1680"/>
        <w:gridCol w:w="1684"/>
      </w:tblGrid>
      <w:tr w:rsidR="00A90505" w:rsidRPr="00ED7537" w14:paraId="29E4DE20" w14:textId="77777777" w:rsidTr="005514A5">
        <w:tc>
          <w:tcPr>
            <w:tcW w:w="3402" w:type="dxa"/>
            <w:shd w:val="clear" w:color="auto" w:fill="BFBFBF"/>
          </w:tcPr>
          <w:p w14:paraId="7D558E90" w14:textId="77777777" w:rsidR="00A90505" w:rsidRPr="00ED7537" w:rsidRDefault="00A90505" w:rsidP="005514A5">
            <w:pPr>
              <w:pStyle w:val="Default"/>
              <w:spacing w:after="120" w:line="276" w:lineRule="auto"/>
              <w:jc w:val="both"/>
              <w:rPr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BFBFBF"/>
          </w:tcPr>
          <w:p w14:paraId="564B2C03" w14:textId="77777777" w:rsidR="00A90505" w:rsidRPr="00EF2090" w:rsidRDefault="00A90505" w:rsidP="005514A5">
            <w:pPr>
              <w:pStyle w:val="Default"/>
              <w:spacing w:after="120" w:line="276" w:lineRule="auto"/>
              <w:jc w:val="right"/>
              <w:rPr>
                <w:b/>
                <w:color w:val="auto"/>
                <w:sz w:val="20"/>
                <w:szCs w:val="20"/>
                <w:highlight w:val="lightGray"/>
                <w:lang w:val="ca-ES"/>
              </w:rPr>
            </w:pPr>
            <w:r w:rsidRPr="00EF2090">
              <w:rPr>
                <w:b/>
                <w:color w:val="auto"/>
                <w:sz w:val="20"/>
                <w:szCs w:val="20"/>
                <w:highlight w:val="lightGray"/>
                <w:lang w:val="ca-ES"/>
              </w:rPr>
              <w:t>Preu</w:t>
            </w:r>
          </w:p>
        </w:tc>
        <w:tc>
          <w:tcPr>
            <w:tcW w:w="1701" w:type="dxa"/>
            <w:shd w:val="clear" w:color="auto" w:fill="BFBFBF"/>
          </w:tcPr>
          <w:p w14:paraId="1CE4591E" w14:textId="77777777" w:rsidR="00A90505" w:rsidRPr="00EF2090" w:rsidRDefault="00A90505" w:rsidP="005514A5">
            <w:pPr>
              <w:pStyle w:val="Default"/>
              <w:spacing w:after="120" w:line="276" w:lineRule="auto"/>
              <w:jc w:val="right"/>
              <w:rPr>
                <w:b/>
                <w:color w:val="auto"/>
                <w:sz w:val="20"/>
                <w:szCs w:val="20"/>
                <w:highlight w:val="lightGray"/>
                <w:lang w:val="ca-ES"/>
              </w:rPr>
            </w:pPr>
            <w:r w:rsidRPr="00EF2090">
              <w:rPr>
                <w:b/>
                <w:color w:val="auto"/>
                <w:sz w:val="20"/>
                <w:szCs w:val="20"/>
                <w:highlight w:val="lightGray"/>
                <w:lang w:val="ca-ES"/>
              </w:rPr>
              <w:t>IVA 21%</w:t>
            </w:r>
          </w:p>
        </w:tc>
        <w:tc>
          <w:tcPr>
            <w:tcW w:w="1701" w:type="dxa"/>
            <w:shd w:val="clear" w:color="auto" w:fill="BFBFBF"/>
          </w:tcPr>
          <w:p w14:paraId="7F3B8832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/>
                <w:color w:val="auto"/>
                <w:sz w:val="20"/>
                <w:szCs w:val="20"/>
                <w:lang w:val="ca-ES"/>
              </w:rPr>
            </w:pPr>
            <w:r w:rsidRPr="00EF2090">
              <w:rPr>
                <w:b/>
                <w:color w:val="auto"/>
                <w:sz w:val="20"/>
                <w:szCs w:val="20"/>
                <w:highlight w:val="lightGray"/>
                <w:lang w:val="ca-ES"/>
              </w:rPr>
              <w:t>Total</w:t>
            </w:r>
          </w:p>
        </w:tc>
      </w:tr>
      <w:tr w:rsidR="00A90505" w:rsidRPr="00ED7537" w14:paraId="1C0659B1" w14:textId="77777777" w:rsidTr="005514A5">
        <w:tc>
          <w:tcPr>
            <w:tcW w:w="3402" w:type="dxa"/>
            <w:shd w:val="clear" w:color="auto" w:fill="auto"/>
          </w:tcPr>
          <w:p w14:paraId="4C2A441F" w14:textId="77777777" w:rsidR="00A90505" w:rsidRPr="00ED7537" w:rsidRDefault="00A90505" w:rsidP="005514A5">
            <w:pPr>
              <w:pStyle w:val="Default"/>
              <w:spacing w:after="120" w:line="276" w:lineRule="auto"/>
              <w:jc w:val="both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 xml:space="preserve">Ajuntament de Vilassar de Mar </w:t>
            </w:r>
          </w:p>
        </w:tc>
        <w:tc>
          <w:tcPr>
            <w:tcW w:w="1701" w:type="dxa"/>
            <w:shd w:val="clear" w:color="auto" w:fill="auto"/>
          </w:tcPr>
          <w:p w14:paraId="0C843294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18.592,00 €</w:t>
            </w:r>
          </w:p>
        </w:tc>
        <w:tc>
          <w:tcPr>
            <w:tcW w:w="1701" w:type="dxa"/>
            <w:shd w:val="clear" w:color="auto" w:fill="auto"/>
          </w:tcPr>
          <w:p w14:paraId="46951F06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3.904,32 €</w:t>
            </w:r>
          </w:p>
        </w:tc>
        <w:tc>
          <w:tcPr>
            <w:tcW w:w="1701" w:type="dxa"/>
            <w:shd w:val="clear" w:color="auto" w:fill="auto"/>
          </w:tcPr>
          <w:p w14:paraId="61D3F90D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22.496,32 €</w:t>
            </w:r>
          </w:p>
        </w:tc>
      </w:tr>
      <w:tr w:rsidR="00A90505" w:rsidRPr="00ED7537" w14:paraId="17CC8F32" w14:textId="77777777" w:rsidTr="005514A5">
        <w:tc>
          <w:tcPr>
            <w:tcW w:w="3402" w:type="dxa"/>
            <w:shd w:val="clear" w:color="auto" w:fill="auto"/>
          </w:tcPr>
          <w:p w14:paraId="3AAB9958" w14:textId="77777777" w:rsidR="00A90505" w:rsidRPr="00ED7537" w:rsidRDefault="00A90505" w:rsidP="005514A5">
            <w:pPr>
              <w:pStyle w:val="Default"/>
              <w:spacing w:after="120" w:line="276" w:lineRule="auto"/>
              <w:jc w:val="both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Patronat de les Escoles Bressol</w:t>
            </w:r>
          </w:p>
        </w:tc>
        <w:tc>
          <w:tcPr>
            <w:tcW w:w="1701" w:type="dxa"/>
            <w:shd w:val="clear" w:color="auto" w:fill="auto"/>
          </w:tcPr>
          <w:p w14:paraId="642687BA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3.718,40 €</w:t>
            </w:r>
          </w:p>
        </w:tc>
        <w:tc>
          <w:tcPr>
            <w:tcW w:w="1701" w:type="dxa"/>
            <w:shd w:val="clear" w:color="auto" w:fill="auto"/>
          </w:tcPr>
          <w:p w14:paraId="3531E4B4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780,86 €</w:t>
            </w:r>
          </w:p>
        </w:tc>
        <w:tc>
          <w:tcPr>
            <w:tcW w:w="1701" w:type="dxa"/>
            <w:shd w:val="clear" w:color="auto" w:fill="auto"/>
          </w:tcPr>
          <w:p w14:paraId="561FAA13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Cs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Cs/>
                <w:color w:val="auto"/>
                <w:sz w:val="20"/>
                <w:szCs w:val="20"/>
                <w:lang w:val="ca-ES"/>
              </w:rPr>
              <w:t>4.499,16 €</w:t>
            </w:r>
          </w:p>
        </w:tc>
      </w:tr>
      <w:tr w:rsidR="00A90505" w:rsidRPr="00ED7537" w14:paraId="7785D2E0" w14:textId="77777777" w:rsidTr="005514A5">
        <w:tc>
          <w:tcPr>
            <w:tcW w:w="3402" w:type="dxa"/>
            <w:shd w:val="clear" w:color="auto" w:fill="auto"/>
          </w:tcPr>
          <w:p w14:paraId="1D9E210C" w14:textId="77777777" w:rsidR="00A90505" w:rsidRPr="00ED7537" w:rsidRDefault="00A90505" w:rsidP="005514A5">
            <w:pPr>
              <w:pStyle w:val="Default"/>
              <w:spacing w:after="120" w:line="276" w:lineRule="auto"/>
              <w:jc w:val="both"/>
              <w:rPr>
                <w:b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/>
                <w:color w:val="auto"/>
                <w:sz w:val="20"/>
                <w:szCs w:val="20"/>
                <w:lang w:val="ca-ES"/>
              </w:rPr>
              <w:t>Total Oferta</w:t>
            </w:r>
          </w:p>
        </w:tc>
        <w:tc>
          <w:tcPr>
            <w:tcW w:w="1701" w:type="dxa"/>
            <w:shd w:val="clear" w:color="auto" w:fill="auto"/>
          </w:tcPr>
          <w:p w14:paraId="56667F75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/>
                <w:color w:val="auto"/>
                <w:sz w:val="20"/>
                <w:szCs w:val="20"/>
                <w:lang w:val="ca-ES"/>
              </w:rPr>
              <w:t>22.310,40 €</w:t>
            </w:r>
          </w:p>
        </w:tc>
        <w:tc>
          <w:tcPr>
            <w:tcW w:w="1701" w:type="dxa"/>
            <w:shd w:val="clear" w:color="auto" w:fill="auto"/>
          </w:tcPr>
          <w:p w14:paraId="35348AE3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/>
                <w:color w:val="auto"/>
                <w:sz w:val="20"/>
                <w:szCs w:val="20"/>
                <w:lang w:val="ca-ES"/>
              </w:rPr>
              <w:t>4.685,18 €</w:t>
            </w:r>
          </w:p>
        </w:tc>
        <w:tc>
          <w:tcPr>
            <w:tcW w:w="1701" w:type="dxa"/>
            <w:shd w:val="clear" w:color="auto" w:fill="auto"/>
          </w:tcPr>
          <w:p w14:paraId="3BC10912" w14:textId="77777777" w:rsidR="00A90505" w:rsidRPr="00ED7537" w:rsidRDefault="00A90505" w:rsidP="005514A5">
            <w:pPr>
              <w:pStyle w:val="Default"/>
              <w:spacing w:after="120" w:line="276" w:lineRule="auto"/>
              <w:jc w:val="right"/>
              <w:rPr>
                <w:b/>
                <w:color w:val="auto"/>
                <w:sz w:val="20"/>
                <w:szCs w:val="20"/>
                <w:lang w:val="ca-ES"/>
              </w:rPr>
            </w:pPr>
            <w:r w:rsidRPr="00ED7537">
              <w:rPr>
                <w:b/>
                <w:color w:val="auto"/>
                <w:sz w:val="20"/>
                <w:szCs w:val="20"/>
                <w:lang w:val="ca-ES"/>
              </w:rPr>
              <w:t>26.995,58 €</w:t>
            </w:r>
          </w:p>
        </w:tc>
      </w:tr>
    </w:tbl>
    <w:p w14:paraId="63F7C552" w14:textId="77777777" w:rsidR="00A90505" w:rsidRDefault="00A90505" w:rsidP="005514A5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  <w:lang w:val="ca-ES"/>
        </w:rPr>
      </w:pPr>
    </w:p>
    <w:p w14:paraId="3359D500" w14:textId="77777777" w:rsidR="00A90505" w:rsidRDefault="00A90505" w:rsidP="005514A5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  <w:lang w:val="ca-ES"/>
        </w:rPr>
      </w:pPr>
      <w:r w:rsidRPr="00E24506">
        <w:rPr>
          <w:b/>
          <w:color w:val="auto"/>
          <w:sz w:val="22"/>
          <w:szCs w:val="22"/>
          <w:lang w:val="ca-ES"/>
        </w:rPr>
        <w:t>Cinquè</w:t>
      </w:r>
      <w:r>
        <w:rPr>
          <w:b/>
          <w:color w:val="auto"/>
          <w:sz w:val="22"/>
          <w:szCs w:val="22"/>
          <w:lang w:val="ca-ES"/>
        </w:rPr>
        <w:t>.</w:t>
      </w:r>
      <w:r w:rsidRPr="00E24506">
        <w:rPr>
          <w:bCs/>
          <w:color w:val="auto"/>
          <w:sz w:val="22"/>
          <w:szCs w:val="22"/>
          <w:lang w:val="ca-ES"/>
        </w:rPr>
        <w:t xml:space="preserve"> Anul·lar la disposició de despesa de 2.258,67 euros sobre l’autorització de despesa prevista per a l’anualitat 2019.</w:t>
      </w:r>
    </w:p>
    <w:p w14:paraId="184D1E4B" w14:textId="77777777" w:rsidR="00A90505" w:rsidRDefault="00A90505" w:rsidP="005514A5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  <w:lang w:val="ca-ES"/>
        </w:rPr>
      </w:pPr>
    </w:p>
    <w:p w14:paraId="618FED0C" w14:textId="77777777" w:rsidR="00A90505" w:rsidRDefault="00A90505" w:rsidP="005514A5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  <w:lang w:val="ca-ES"/>
        </w:rPr>
      </w:pPr>
      <w:r>
        <w:rPr>
          <w:b/>
          <w:color w:val="auto"/>
          <w:sz w:val="22"/>
          <w:szCs w:val="22"/>
          <w:lang w:val="ca-ES"/>
        </w:rPr>
        <w:t>Sisè.</w:t>
      </w:r>
      <w:r w:rsidRPr="009D137B">
        <w:rPr>
          <w:bCs/>
          <w:color w:val="auto"/>
          <w:sz w:val="22"/>
          <w:szCs w:val="22"/>
          <w:lang w:val="ca-ES"/>
        </w:rPr>
        <w:t xml:space="preserve"> Disposar una despesa per import de 26.995,58 euros (22.310,40 euros + 21% d’IVA: 4.685,18 euros) a favor de la mercantil Fornell Consultors, S.L.P., amb CIF B60487360, amb càrrec a les aplicacions pressupostàries següents</w:t>
      </w:r>
      <w:r>
        <w:rPr>
          <w:bCs/>
          <w:color w:val="auto"/>
          <w:sz w:val="22"/>
          <w:szCs w:val="22"/>
          <w:lang w:val="ca-ES"/>
        </w:rPr>
        <w:t xml:space="preserve"> per les anualitats 2020 i 2021, condicionant la despesa de l’any 2021 a l’existència de crèdit adequat i suficient per finançar les obligacions derivades del contracte, d’acord amb el següent desglossament:</w:t>
      </w:r>
    </w:p>
    <w:tbl>
      <w:tblPr>
        <w:tblW w:w="705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1660"/>
        <w:gridCol w:w="1760"/>
      </w:tblGrid>
      <w:tr w:rsidR="00A90505" w:rsidRPr="00A61E4C" w14:paraId="5048FC8B" w14:textId="77777777" w:rsidTr="005514A5">
        <w:trPr>
          <w:trHeight w:val="255"/>
        </w:trPr>
        <w:tc>
          <w:tcPr>
            <w:tcW w:w="70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85E256" w14:textId="77777777" w:rsidR="00A90505" w:rsidRPr="00A61E4C" w:rsidRDefault="00A90505" w:rsidP="005514A5">
            <w:pPr>
              <w:spacing w:line="276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Ajuntament de Vilassar de Mar</w:t>
            </w:r>
          </w:p>
        </w:tc>
      </w:tr>
      <w:tr w:rsidR="00A90505" w:rsidRPr="00A61E4C" w14:paraId="5199FE57" w14:textId="77777777" w:rsidTr="005514A5">
        <w:trPr>
          <w:trHeight w:val="255"/>
        </w:trPr>
        <w:tc>
          <w:tcPr>
            <w:tcW w:w="3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51A4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 xml:space="preserve">Any 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BEB1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Mesos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C66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Total any</w:t>
            </w:r>
          </w:p>
        </w:tc>
      </w:tr>
      <w:tr w:rsidR="00A90505" w:rsidRPr="00A61E4C" w14:paraId="06828FFC" w14:textId="77777777" w:rsidTr="005514A5">
        <w:trPr>
          <w:trHeight w:val="255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1BBF2CAC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2020 - SG 92000 227.99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0217D88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11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FD982F9" w14:textId="77777777" w:rsidR="00A90505" w:rsidRPr="00A61E4C" w:rsidRDefault="00A90505" w:rsidP="005514A5">
            <w:pPr>
              <w:spacing w:line="276" w:lineRule="auto"/>
              <w:jc w:val="right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          2</w:t>
            </w: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0.621,63</w:t>
            </w: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 € </w:t>
            </w:r>
          </w:p>
        </w:tc>
      </w:tr>
      <w:tr w:rsidR="00A90505" w:rsidRPr="009D137B" w14:paraId="5585DD46" w14:textId="77777777" w:rsidTr="005514A5">
        <w:trPr>
          <w:trHeight w:val="255"/>
        </w:trPr>
        <w:tc>
          <w:tcPr>
            <w:tcW w:w="3630" w:type="dxa"/>
            <w:shd w:val="clear" w:color="auto" w:fill="auto"/>
            <w:noWrap/>
            <w:vAlign w:val="bottom"/>
          </w:tcPr>
          <w:p w14:paraId="59DA5E08" w14:textId="77777777" w:rsidR="00A90505" w:rsidRPr="009D137B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9D137B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2021 </w:t>
            </w: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-</w:t>
            </w:r>
            <w:r w:rsidRPr="009D137B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 SG 92000 227.99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29564E8C" w14:textId="77777777" w:rsidR="00A90505" w:rsidRPr="009D137B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9D137B">
              <w:rPr>
                <w:rFonts w:eastAsia="Times New Roman" w:cs="Arial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F100B13" w14:textId="77777777" w:rsidR="00A90505" w:rsidRPr="009D137B" w:rsidRDefault="00A90505" w:rsidP="005514A5">
            <w:pPr>
              <w:spacing w:line="276" w:lineRule="auto"/>
              <w:jc w:val="right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9D137B">
              <w:rPr>
                <w:rFonts w:eastAsia="Times New Roman" w:cs="Arial"/>
                <w:sz w:val="20"/>
                <w:szCs w:val="20"/>
                <w:lang w:val="ca-ES" w:eastAsia="ca-ES"/>
              </w:rPr>
              <w:t>1.874,69 €</w:t>
            </w:r>
          </w:p>
        </w:tc>
      </w:tr>
      <w:tr w:rsidR="00A90505" w:rsidRPr="00A61E4C" w14:paraId="2EC6A634" w14:textId="77777777" w:rsidTr="005514A5">
        <w:trPr>
          <w:trHeight w:val="255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0B86AC8F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896B387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8722A1E" w14:textId="77777777" w:rsidR="00A90505" w:rsidRPr="00A61E4C" w:rsidRDefault="00A90505" w:rsidP="005514A5">
            <w:pPr>
              <w:spacing w:line="276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2</w:t>
            </w: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2.496,32</w:t>
            </w: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 €</w:t>
            </w:r>
          </w:p>
        </w:tc>
      </w:tr>
    </w:tbl>
    <w:p w14:paraId="15E2E28C" w14:textId="77777777" w:rsidR="00A90505" w:rsidRPr="00A61E4C" w:rsidRDefault="00A90505" w:rsidP="005514A5">
      <w:pPr>
        <w:spacing w:after="120" w:line="276" w:lineRule="auto"/>
      </w:pPr>
    </w:p>
    <w:tbl>
      <w:tblPr>
        <w:tblW w:w="705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1660"/>
        <w:gridCol w:w="1760"/>
      </w:tblGrid>
      <w:tr w:rsidR="00A90505" w:rsidRPr="00A61E4C" w14:paraId="4754D851" w14:textId="77777777" w:rsidTr="005514A5">
        <w:trPr>
          <w:trHeight w:val="255"/>
        </w:trPr>
        <w:tc>
          <w:tcPr>
            <w:tcW w:w="70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DD8A" w14:textId="77777777" w:rsidR="00A90505" w:rsidRPr="00A61E4C" w:rsidRDefault="00A90505" w:rsidP="005514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Patronat Escoles Bressol</w:t>
            </w:r>
          </w:p>
        </w:tc>
      </w:tr>
      <w:tr w:rsidR="00A90505" w:rsidRPr="00A61E4C" w14:paraId="79D98B4B" w14:textId="77777777" w:rsidTr="005514A5">
        <w:trPr>
          <w:trHeight w:val="255"/>
        </w:trPr>
        <w:tc>
          <w:tcPr>
            <w:tcW w:w="3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575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 xml:space="preserve">Any 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FEA9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Mesos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C56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Total any</w:t>
            </w:r>
          </w:p>
        </w:tc>
      </w:tr>
      <w:tr w:rsidR="00A90505" w:rsidRPr="00A61E4C" w14:paraId="65A3C3BA" w14:textId="77777777" w:rsidTr="005514A5">
        <w:trPr>
          <w:trHeight w:val="255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29C1A419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2020 - 323 226.99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4C123A2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11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080BB72" w14:textId="77777777" w:rsidR="00A90505" w:rsidRPr="00A61E4C" w:rsidRDefault="00A90505" w:rsidP="005514A5">
            <w:pPr>
              <w:spacing w:line="276" w:lineRule="auto"/>
              <w:jc w:val="right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4.</w:t>
            </w: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124,32</w:t>
            </w: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 €</w:t>
            </w:r>
          </w:p>
        </w:tc>
      </w:tr>
      <w:tr w:rsidR="00A90505" w:rsidRPr="00A61E4C" w14:paraId="47D46169" w14:textId="77777777" w:rsidTr="005514A5">
        <w:trPr>
          <w:trHeight w:val="255"/>
        </w:trPr>
        <w:tc>
          <w:tcPr>
            <w:tcW w:w="3630" w:type="dxa"/>
            <w:shd w:val="clear" w:color="auto" w:fill="auto"/>
            <w:noWrap/>
            <w:vAlign w:val="bottom"/>
          </w:tcPr>
          <w:p w14:paraId="5698A311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2021 - 323 226.99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8B4A914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5C73F4F" w14:textId="77777777" w:rsidR="00A90505" w:rsidRPr="00A61E4C" w:rsidRDefault="00A90505" w:rsidP="005514A5">
            <w:pPr>
              <w:spacing w:line="276" w:lineRule="auto"/>
              <w:jc w:val="right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374,94 €</w:t>
            </w:r>
          </w:p>
        </w:tc>
      </w:tr>
      <w:tr w:rsidR="00A90505" w:rsidRPr="00A61E4C" w14:paraId="202A7682" w14:textId="77777777" w:rsidTr="005514A5">
        <w:trPr>
          <w:trHeight w:val="255"/>
        </w:trPr>
        <w:tc>
          <w:tcPr>
            <w:tcW w:w="3630" w:type="dxa"/>
            <w:shd w:val="clear" w:color="auto" w:fill="auto"/>
            <w:noWrap/>
            <w:vAlign w:val="bottom"/>
            <w:hideMark/>
          </w:tcPr>
          <w:p w14:paraId="39A9DD53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49C8D5F" w14:textId="77777777" w:rsidR="00A90505" w:rsidRPr="00A61E4C" w:rsidRDefault="00A90505" w:rsidP="005514A5">
            <w:pPr>
              <w:spacing w:line="276" w:lineRule="auto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4E855A5" w14:textId="77777777" w:rsidR="00A90505" w:rsidRPr="00A61E4C" w:rsidRDefault="00A90505" w:rsidP="005514A5">
            <w:pPr>
              <w:spacing w:line="276" w:lineRule="auto"/>
              <w:jc w:val="right"/>
              <w:rPr>
                <w:rFonts w:eastAsia="Times New Roman" w:cs="Arial"/>
                <w:sz w:val="20"/>
                <w:szCs w:val="20"/>
                <w:lang w:val="ca-ES" w:eastAsia="ca-ES"/>
              </w:rPr>
            </w:pP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val="ca-ES" w:eastAsia="ca-ES"/>
              </w:rPr>
              <w:t>4.499,26</w:t>
            </w:r>
            <w:r w:rsidRPr="00A61E4C">
              <w:rPr>
                <w:rFonts w:eastAsia="Times New Roman" w:cs="Arial"/>
                <w:sz w:val="20"/>
                <w:szCs w:val="20"/>
                <w:lang w:val="ca-ES" w:eastAsia="ca-ES"/>
              </w:rPr>
              <w:t xml:space="preserve"> €</w:t>
            </w:r>
          </w:p>
        </w:tc>
      </w:tr>
    </w:tbl>
    <w:p w14:paraId="18110B5B" w14:textId="77777777" w:rsidR="00A90505" w:rsidRDefault="00A90505" w:rsidP="005514A5">
      <w:pPr>
        <w:pStyle w:val="Default"/>
        <w:spacing w:line="276" w:lineRule="auto"/>
        <w:jc w:val="both"/>
        <w:rPr>
          <w:bCs/>
          <w:color w:val="auto"/>
          <w:sz w:val="22"/>
          <w:szCs w:val="22"/>
          <w:lang w:val="ca-ES"/>
        </w:rPr>
      </w:pPr>
    </w:p>
    <w:p w14:paraId="60ED6963" w14:textId="77777777" w:rsidR="00A90505" w:rsidRPr="00E87C73" w:rsidRDefault="00A90505" w:rsidP="005514A5">
      <w:pPr>
        <w:pStyle w:val="Default"/>
        <w:spacing w:line="276" w:lineRule="auto"/>
        <w:jc w:val="both"/>
        <w:rPr>
          <w:color w:val="auto"/>
          <w:sz w:val="22"/>
          <w:szCs w:val="22"/>
          <w:highlight w:val="yellow"/>
          <w:lang w:val="ca-ES"/>
        </w:rPr>
      </w:pPr>
      <w:r>
        <w:rPr>
          <w:b/>
          <w:bCs/>
          <w:color w:val="auto"/>
          <w:sz w:val="22"/>
          <w:szCs w:val="22"/>
          <w:lang w:val="ca-ES"/>
        </w:rPr>
        <w:t>Set</w:t>
      </w:r>
      <w:r w:rsidRPr="00E87C73">
        <w:rPr>
          <w:b/>
          <w:bCs/>
          <w:color w:val="auto"/>
          <w:sz w:val="22"/>
          <w:szCs w:val="22"/>
          <w:lang w:val="ca-ES"/>
        </w:rPr>
        <w:t>è.</w:t>
      </w:r>
      <w:r w:rsidRPr="00E87C73">
        <w:rPr>
          <w:color w:val="auto"/>
          <w:sz w:val="22"/>
          <w:szCs w:val="22"/>
          <w:lang w:val="ca-ES"/>
        </w:rPr>
        <w:t xml:space="preserve"> Notificar aquest acord a la mercantil Fornell Consultors, S.L.P., per a que, en el termini de 15 dies hàbils a comptar des del següent a la notificació de l’adjudicació d’aquest acord, procedeixi a la formalització del contracte administratiu, de conformitat amb el disposat a l’article 156.3 del TRLCSP, així com a la resta d’empreses que han participat a la licitació.</w:t>
      </w:r>
    </w:p>
    <w:p w14:paraId="0EF0F82C" w14:textId="77777777" w:rsidR="00A90505" w:rsidRPr="00E87C73" w:rsidRDefault="00A90505" w:rsidP="005514A5">
      <w:pPr>
        <w:spacing w:line="276" w:lineRule="auto"/>
        <w:rPr>
          <w:highlight w:val="yellow"/>
          <w:lang w:val="ca-ES"/>
        </w:rPr>
      </w:pPr>
    </w:p>
    <w:p w14:paraId="4D6D7777" w14:textId="77777777" w:rsidR="00A90505" w:rsidRPr="00E87C73" w:rsidRDefault="00A90505" w:rsidP="005514A5">
      <w:pPr>
        <w:spacing w:line="276" w:lineRule="auto"/>
        <w:rPr>
          <w:rFonts w:cs="Arial"/>
          <w:lang w:val="ca-ES"/>
        </w:rPr>
      </w:pPr>
      <w:r>
        <w:rPr>
          <w:rFonts w:cs="Arial"/>
          <w:b/>
          <w:bCs/>
          <w:lang w:val="ca-ES"/>
        </w:rPr>
        <w:t>Vuit</w:t>
      </w:r>
      <w:r w:rsidRPr="00E87C73">
        <w:rPr>
          <w:rFonts w:cs="Arial"/>
          <w:b/>
          <w:bCs/>
          <w:lang w:val="ca-ES"/>
        </w:rPr>
        <w:t>è</w:t>
      </w:r>
      <w:r w:rsidRPr="00E87C73">
        <w:rPr>
          <w:rFonts w:cs="Arial"/>
          <w:lang w:val="ca-ES"/>
        </w:rPr>
        <w:t>. Facultar al Sr. Alcalde per a la signatura del contracte i quanta documentació sigui necessària per al correcte desenvolupament d’aquest contracte.</w:t>
      </w:r>
    </w:p>
    <w:p w14:paraId="7B8CF501" w14:textId="77777777" w:rsidR="00A90505" w:rsidRPr="00E87C73" w:rsidRDefault="00A90505" w:rsidP="005514A5">
      <w:pPr>
        <w:spacing w:line="276" w:lineRule="auto"/>
        <w:rPr>
          <w:rFonts w:cs="Arial"/>
          <w:color w:val="FF0000"/>
          <w:lang w:val="ca-ES"/>
        </w:rPr>
      </w:pPr>
    </w:p>
    <w:p w14:paraId="69A03354" w14:textId="77777777" w:rsidR="00A90505" w:rsidRPr="00E87C73" w:rsidRDefault="00A90505" w:rsidP="005514A5">
      <w:pPr>
        <w:pStyle w:val="Default"/>
        <w:spacing w:line="276" w:lineRule="auto"/>
        <w:jc w:val="both"/>
        <w:rPr>
          <w:color w:val="auto"/>
          <w:sz w:val="22"/>
          <w:szCs w:val="22"/>
          <w:lang w:val="ca-ES"/>
        </w:rPr>
      </w:pPr>
      <w:r>
        <w:rPr>
          <w:b/>
          <w:bCs/>
          <w:color w:val="auto"/>
          <w:sz w:val="22"/>
          <w:szCs w:val="22"/>
          <w:lang w:val="ca-ES"/>
        </w:rPr>
        <w:t>Nov</w:t>
      </w:r>
      <w:r w:rsidRPr="00E87C73">
        <w:rPr>
          <w:b/>
          <w:bCs/>
          <w:color w:val="auto"/>
          <w:sz w:val="22"/>
          <w:szCs w:val="22"/>
          <w:lang w:val="ca-ES"/>
        </w:rPr>
        <w:t>è.</w:t>
      </w:r>
      <w:r w:rsidRPr="00E87C73">
        <w:rPr>
          <w:color w:val="auto"/>
          <w:sz w:val="22"/>
          <w:szCs w:val="22"/>
          <w:lang w:val="ca-ES"/>
        </w:rPr>
        <w:t xml:space="preserve"> Designar com a responsable</w:t>
      </w:r>
      <w:r>
        <w:rPr>
          <w:color w:val="auto"/>
          <w:sz w:val="22"/>
          <w:szCs w:val="22"/>
          <w:lang w:val="ca-ES"/>
        </w:rPr>
        <w:t>s</w:t>
      </w:r>
      <w:r w:rsidRPr="00E87C73">
        <w:rPr>
          <w:color w:val="auto"/>
          <w:sz w:val="22"/>
          <w:szCs w:val="22"/>
          <w:lang w:val="ca-ES"/>
        </w:rPr>
        <w:t xml:space="preserve"> del contracte, en els termes de l’article 52 del TRLCSP, la Tècnica de Recursos Humans, la Sra. Alícia Serra i la Interventora General, la Sra. Maria Josep Lozano, per part de l’Ajuntament de Vilassar de Mar i la Directora de l’escola Bressol, la Sra. Anna Buch, per part del Patronat de les Escoles Bressol. </w:t>
      </w:r>
    </w:p>
    <w:p w14:paraId="41DE030B" w14:textId="77777777" w:rsidR="00A90505" w:rsidRPr="00FB7302" w:rsidRDefault="00A90505" w:rsidP="005514A5">
      <w:pPr>
        <w:spacing w:line="276" w:lineRule="auto"/>
        <w:rPr>
          <w:rFonts w:cs="Arial"/>
          <w:color w:val="FF0000"/>
          <w:highlight w:val="yellow"/>
          <w:lang w:val="ca-ES"/>
        </w:rPr>
      </w:pPr>
    </w:p>
    <w:p w14:paraId="7D279B8D" w14:textId="77777777" w:rsidR="00A90505" w:rsidRDefault="00A90505" w:rsidP="0025654E">
      <w:pPr>
        <w:rPr>
          <w:lang w:val="ca-ES"/>
        </w:rPr>
      </w:pPr>
      <w:r>
        <w:rPr>
          <w:rFonts w:cs="Arial"/>
          <w:b/>
          <w:lang w:val="ca-ES"/>
        </w:rPr>
        <w:t>Des</w:t>
      </w:r>
      <w:r w:rsidRPr="00E87C73">
        <w:rPr>
          <w:rFonts w:cs="Arial"/>
          <w:b/>
          <w:lang w:val="ca-ES"/>
        </w:rPr>
        <w:t>è</w:t>
      </w:r>
      <w:r w:rsidRPr="00E87C73">
        <w:rPr>
          <w:rFonts w:cs="Arial"/>
          <w:bCs/>
          <w:lang w:val="ca-ES"/>
        </w:rPr>
        <w:t>. Publicar aquest</w:t>
      </w:r>
      <w:r w:rsidRPr="00E87C73">
        <w:rPr>
          <w:rFonts w:cs="Arial"/>
          <w:lang w:val="ca-ES"/>
        </w:rPr>
        <w:t xml:space="preserve"> acord al Perfil del contractant de l’Ajuntament de Vilassar de Mar.</w:t>
      </w:r>
      <w:bookmarkStart w:id="1" w:name="DOCUMENTO_5639202"/>
      <w:bookmarkEnd w:id="1"/>
    </w:p>
    <w:p w14:paraId="73877944" w14:textId="77777777" w:rsidR="00A90505" w:rsidRDefault="00A90505" w:rsidP="00A90505">
      <w:pPr>
        <w:rPr>
          <w:rFonts w:cs="Arial"/>
          <w:lang w:val="ca-ES"/>
        </w:rPr>
      </w:pPr>
      <w:bookmarkStart w:id="2" w:name="DOCUMENTO_5732248"/>
      <w:bookmarkEnd w:id="0"/>
      <w:bookmarkEnd w:id="2"/>
    </w:p>
    <w:p w14:paraId="2F440816" w14:textId="77777777" w:rsidR="00A90505" w:rsidRPr="00A90505" w:rsidRDefault="00A90505" w:rsidP="00A90505">
      <w:pPr>
        <w:rPr>
          <w:rFonts w:cs="Arial"/>
          <w:lang w:val="ca-ES"/>
        </w:rPr>
      </w:pPr>
    </w:p>
    <w:p w14:paraId="5FF6FA80" w14:textId="77777777" w:rsidR="00D55338" w:rsidRDefault="00D55338" w:rsidP="00D55338">
      <w:pPr>
        <w:rPr>
          <w:rFonts w:cs="Arial"/>
          <w:lang w:val="ca-ES"/>
        </w:rPr>
      </w:pPr>
      <w:r>
        <w:rPr>
          <w:rFonts w:cs="Arial"/>
          <w:b/>
          <w:lang w:val="ca-ES"/>
        </w:rPr>
        <w:t>3.0.- APROVACIÓ DE L'ADJUDICACIÓ DEL SERVEI DE MANTENIMENT DE JOCS INFANTILS. EXPEDIENT X2019004034.</w:t>
      </w:r>
    </w:p>
    <w:p w14:paraId="20F4D76B" w14:textId="77777777" w:rsidR="00D55338" w:rsidRDefault="00D55338" w:rsidP="00D55338">
      <w:pPr>
        <w:rPr>
          <w:rFonts w:cs="Arial"/>
          <w:lang w:val="ca-ES"/>
        </w:rPr>
      </w:pPr>
    </w:p>
    <w:p w14:paraId="17906271" w14:textId="77777777" w:rsidR="00AE3ADE" w:rsidRDefault="00AE3ADE" w:rsidP="006D2C30">
      <w:pPr>
        <w:rPr>
          <w:b/>
          <w:bCs/>
          <w:kern w:val="22"/>
          <w:lang w:val="ca-ES" w:eastAsia="es-ES"/>
        </w:rPr>
      </w:pPr>
      <w:bookmarkStart w:id="3" w:name="X2019004034"/>
    </w:p>
    <w:p w14:paraId="2E464501" w14:textId="5387B0A4" w:rsidR="00D55338" w:rsidRPr="005A732C" w:rsidRDefault="00D55338" w:rsidP="006D2C30">
      <w:pPr>
        <w:rPr>
          <w:b/>
          <w:bCs/>
          <w:kern w:val="22"/>
          <w:lang w:val="ca-ES" w:eastAsia="es-ES"/>
        </w:rPr>
      </w:pPr>
      <w:r w:rsidRPr="005A732C">
        <w:rPr>
          <w:b/>
          <w:bCs/>
          <w:kern w:val="22"/>
          <w:lang w:val="ca-ES" w:eastAsia="es-ES"/>
        </w:rPr>
        <w:t>S’ACORDA:  </w:t>
      </w:r>
    </w:p>
    <w:p w14:paraId="58D1F4CE" w14:textId="77777777" w:rsidR="00D55338" w:rsidRPr="002602EF" w:rsidRDefault="00D55338" w:rsidP="006D2C30">
      <w:pPr>
        <w:rPr>
          <w:highlight w:val="yellow"/>
          <w:lang w:val="ca-ES" w:eastAsia="es-ES"/>
        </w:rPr>
      </w:pPr>
    </w:p>
    <w:p w14:paraId="09A95A95" w14:textId="77777777" w:rsidR="00D55338" w:rsidRDefault="00D55338" w:rsidP="006D2C30">
      <w:pPr>
        <w:spacing w:line="276" w:lineRule="auto"/>
        <w:rPr>
          <w:lang w:val="ca-ES" w:eastAsia="es-ES"/>
        </w:rPr>
      </w:pPr>
      <w:r>
        <w:rPr>
          <w:lang w:val="ca-ES" w:eastAsia="es-ES"/>
        </w:rPr>
        <w:t xml:space="preserve">Primer. Declarar exclosa l'oferta presentada per la mercantil HAPPYLUDIC PLAYGROUN AND URBAN EQUIPMENT, SL per haver superat el tipus de la licitació. </w:t>
      </w:r>
    </w:p>
    <w:p w14:paraId="4104AE24" w14:textId="77777777" w:rsidR="00D55338" w:rsidRDefault="00D55338" w:rsidP="006D2C30">
      <w:pPr>
        <w:spacing w:line="276" w:lineRule="auto"/>
        <w:rPr>
          <w:lang w:val="ca-ES" w:eastAsia="es-ES"/>
        </w:rPr>
      </w:pPr>
    </w:p>
    <w:p w14:paraId="6B9974C4" w14:textId="77777777" w:rsidR="00D55338" w:rsidRPr="00AA04E3" w:rsidRDefault="00D55338" w:rsidP="006D2C30">
      <w:pPr>
        <w:spacing w:line="276" w:lineRule="auto"/>
        <w:rPr>
          <w:highlight w:val="yellow"/>
          <w:lang w:val="ca-ES" w:eastAsia="es-ES"/>
        </w:rPr>
      </w:pPr>
      <w:r>
        <w:rPr>
          <w:lang w:val="ca-ES" w:eastAsia="es-ES"/>
        </w:rPr>
        <w:t xml:space="preserve">Segon. </w:t>
      </w:r>
      <w:r w:rsidRPr="00AA04E3">
        <w:rPr>
          <w:lang w:val="ca-ES"/>
        </w:rPr>
        <w:t>Aprovar la classificació de les ofertes presentades, d'acord amb la proposta formulada per la mesa de contractació en data 18 de desembre de 2019:</w:t>
      </w:r>
    </w:p>
    <w:tbl>
      <w:tblPr>
        <w:tblpPr w:leftFromText="141" w:rightFromText="141" w:vertAnchor="text" w:horzAnchor="margin" w:tblpXSpec="right" w:tblpY="177"/>
        <w:tblW w:w="8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15"/>
        <w:gridCol w:w="1011"/>
        <w:gridCol w:w="1115"/>
        <w:gridCol w:w="1011"/>
        <w:gridCol w:w="938"/>
      </w:tblGrid>
      <w:tr w:rsidR="00D55338" w:rsidRPr="00AA04E3" w14:paraId="46930B9A" w14:textId="77777777" w:rsidTr="006D2C30">
        <w:trPr>
          <w:trHeight w:val="21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16D4C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B049B" w14:textId="77777777" w:rsidR="00D55338" w:rsidRPr="00AA04E3" w:rsidRDefault="00D55338" w:rsidP="006D2C3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Total puntuació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2E9C7BDC" w14:textId="77777777" w:rsidR="00D55338" w:rsidRPr="00AA04E3" w:rsidRDefault="00D55338" w:rsidP="006D2C3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Preu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880B0" w14:textId="77777777" w:rsidR="00D55338" w:rsidRPr="00AA04E3" w:rsidRDefault="00D55338" w:rsidP="006D2C3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Puntuació Preu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DAAA4" w14:textId="77777777" w:rsidR="00D55338" w:rsidRPr="00AA04E3" w:rsidRDefault="00D55338" w:rsidP="006D2C3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Puntuació Garantia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083316" w14:textId="77777777" w:rsidR="00D55338" w:rsidRPr="00AA04E3" w:rsidRDefault="00D55338" w:rsidP="006D2C3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Puntuació Termini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9CC736" w14:textId="77777777" w:rsidR="00D55338" w:rsidRPr="00AA04E3" w:rsidRDefault="00D55338" w:rsidP="006D2C30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TOTAL OFERTA</w:t>
            </w:r>
          </w:p>
        </w:tc>
      </w:tr>
      <w:tr w:rsidR="00D55338" w:rsidRPr="00AA04E3" w14:paraId="2EBA3DD3" w14:textId="77777777" w:rsidTr="006D2C30">
        <w:trPr>
          <w:trHeight w:val="2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0FA80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6B505" w14:textId="77777777" w:rsidR="00D55338" w:rsidRPr="00AA04E3" w:rsidRDefault="00D55338" w:rsidP="006D2C30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PARCS I JARDINS CATALUNYA, S.L.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B8DAF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cs="Arial"/>
                <w:sz w:val="18"/>
                <w:szCs w:val="18"/>
                <w:lang w:val="ca-ES"/>
              </w:rPr>
              <w:t>14.312,59 €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38A1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90,00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7252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29AF7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FD423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94,00</w:t>
            </w:r>
          </w:p>
        </w:tc>
      </w:tr>
      <w:tr w:rsidR="00D55338" w:rsidRPr="00AA04E3" w14:paraId="39AB17F7" w14:textId="77777777" w:rsidTr="006D2C30">
        <w:trPr>
          <w:trHeight w:val="2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28BD6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75D2" w14:textId="77777777" w:rsidR="00D55338" w:rsidRPr="00AA04E3" w:rsidRDefault="00D55338" w:rsidP="006D2C30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HPC IBÉRICA, S.A.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3D468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cs="Arial"/>
                <w:sz w:val="18"/>
                <w:szCs w:val="18"/>
                <w:lang w:val="ca-ES"/>
              </w:rPr>
              <w:t>15.156,00 €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4876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74,10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B6ED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676B1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40E9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84,10</w:t>
            </w:r>
          </w:p>
        </w:tc>
      </w:tr>
      <w:tr w:rsidR="00D55338" w:rsidRPr="00AA04E3" w14:paraId="183CDCC1" w14:textId="77777777" w:rsidTr="006D2C30">
        <w:trPr>
          <w:trHeight w:val="2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33917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29CF" w14:textId="77777777" w:rsidR="00D55338" w:rsidRPr="00AA04E3" w:rsidRDefault="00D55338" w:rsidP="006D2C30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URBE SBD, S.L.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AA6D0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cs="Arial"/>
                <w:sz w:val="18"/>
                <w:szCs w:val="18"/>
                <w:lang w:val="ca-ES"/>
              </w:rPr>
              <w:t>15.267,00 €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77BE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72,01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95E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6B0B7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46F4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82,01</w:t>
            </w:r>
          </w:p>
        </w:tc>
      </w:tr>
      <w:tr w:rsidR="00D55338" w:rsidRPr="00AA04E3" w14:paraId="28356212" w14:textId="77777777" w:rsidTr="006D2C30">
        <w:trPr>
          <w:trHeight w:val="2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D90FB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FE837" w14:textId="77777777" w:rsidR="00D55338" w:rsidRPr="00AA04E3" w:rsidRDefault="00D55338" w:rsidP="006D2C30">
            <w:pPr>
              <w:jc w:val="left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PROSEÑAL, S.L.U.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69B6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cs="Arial"/>
                <w:sz w:val="18"/>
                <w:szCs w:val="18"/>
                <w:lang w:val="ca-ES"/>
              </w:rPr>
              <w:t>17.110,60 €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3BE4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37,25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6C53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C68577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B13DA" w14:textId="77777777" w:rsidR="00D55338" w:rsidRPr="00AA04E3" w:rsidRDefault="00D55338" w:rsidP="006D2C30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</w:pPr>
            <w:r w:rsidRPr="00AA04E3">
              <w:rPr>
                <w:rFonts w:eastAsia="Times New Roman" w:cs="Arial"/>
                <w:color w:val="000000"/>
                <w:sz w:val="18"/>
                <w:szCs w:val="18"/>
                <w:lang w:val="ca-ES" w:eastAsia="es-ES"/>
              </w:rPr>
              <w:t>42,25</w:t>
            </w:r>
          </w:p>
        </w:tc>
      </w:tr>
    </w:tbl>
    <w:p w14:paraId="23001825" w14:textId="77777777" w:rsidR="00D55338" w:rsidRPr="00AA04E3" w:rsidRDefault="00D55338" w:rsidP="006D2C30">
      <w:pPr>
        <w:spacing w:line="276" w:lineRule="auto"/>
        <w:rPr>
          <w:highlight w:val="yellow"/>
          <w:lang w:val="ca-ES" w:eastAsia="es-ES"/>
        </w:rPr>
      </w:pPr>
    </w:p>
    <w:p w14:paraId="55AB017B" w14:textId="77777777" w:rsidR="00D55338" w:rsidRDefault="00D55338" w:rsidP="006D2C30">
      <w:pPr>
        <w:spacing w:line="276" w:lineRule="auto"/>
      </w:pPr>
    </w:p>
    <w:p w14:paraId="1C64B4CF" w14:textId="77777777" w:rsidR="00D55338" w:rsidRDefault="00D55338" w:rsidP="006D2C30">
      <w:pPr>
        <w:spacing w:line="276" w:lineRule="auto"/>
        <w:rPr>
          <w:highlight w:val="yellow"/>
          <w:lang w:val="ca-ES" w:eastAsia="es-ES"/>
        </w:rPr>
      </w:pPr>
    </w:p>
    <w:p w14:paraId="3FBAEF9B" w14:textId="77777777" w:rsidR="0068693A" w:rsidRDefault="0068693A" w:rsidP="006D2C30">
      <w:pPr>
        <w:suppressAutoHyphens/>
        <w:spacing w:after="120" w:line="276" w:lineRule="auto"/>
        <w:rPr>
          <w:lang w:val="ca-ES" w:eastAsia="es-ES"/>
        </w:rPr>
      </w:pPr>
    </w:p>
    <w:p w14:paraId="30868128" w14:textId="77777777" w:rsidR="0068693A" w:rsidRDefault="0068693A" w:rsidP="006D2C30">
      <w:pPr>
        <w:suppressAutoHyphens/>
        <w:spacing w:after="120" w:line="276" w:lineRule="auto"/>
        <w:rPr>
          <w:lang w:val="ca-ES" w:eastAsia="es-ES"/>
        </w:rPr>
      </w:pPr>
    </w:p>
    <w:p w14:paraId="626BBFBA" w14:textId="77777777" w:rsidR="0068693A" w:rsidRDefault="0068693A" w:rsidP="006D2C30">
      <w:pPr>
        <w:suppressAutoHyphens/>
        <w:spacing w:after="120" w:line="276" w:lineRule="auto"/>
        <w:rPr>
          <w:lang w:val="ca-ES" w:eastAsia="es-ES"/>
        </w:rPr>
      </w:pPr>
    </w:p>
    <w:p w14:paraId="5E793CF8" w14:textId="3315B273" w:rsidR="00D55338" w:rsidRPr="00AA04E3" w:rsidRDefault="00D55338" w:rsidP="006D2C30">
      <w:pPr>
        <w:suppressAutoHyphens/>
        <w:spacing w:after="120" w:line="276" w:lineRule="auto"/>
        <w:rPr>
          <w:rFonts w:cs="Arial"/>
          <w:noProof/>
          <w:lang w:val="ca-ES"/>
        </w:rPr>
      </w:pPr>
      <w:r>
        <w:rPr>
          <w:lang w:val="ca-ES" w:eastAsia="es-ES"/>
        </w:rPr>
        <w:t>Tercer.</w:t>
      </w:r>
      <w:r w:rsidRPr="00AA04E3">
        <w:rPr>
          <w:lang w:val="ca-ES" w:eastAsia="es-ES"/>
        </w:rPr>
        <w:t xml:space="preserve"> </w:t>
      </w:r>
      <w:r w:rsidRPr="00AA04E3">
        <w:rPr>
          <w:lang w:val="ca-ES"/>
        </w:rPr>
        <w:t xml:space="preserve">Adjudicar el contracte de Servei de manteniment de les àrees de joc infantil del municipi de Vilassar de Mar a la mercantil Parcs i Jardins Catalunya, S.L., per un import (preu anualitat part fixa) de </w:t>
      </w:r>
      <w:r w:rsidRPr="00AA04E3">
        <w:rPr>
          <w:rFonts w:cs="Arial"/>
          <w:b/>
          <w:bCs/>
          <w:noProof/>
          <w:lang w:val="ca-ES"/>
        </w:rPr>
        <w:t>17.318,24 euros</w:t>
      </w:r>
      <w:r w:rsidRPr="00AA04E3">
        <w:rPr>
          <w:rFonts w:cs="Arial"/>
          <w:noProof/>
          <w:lang w:val="ca-ES"/>
        </w:rPr>
        <w:t xml:space="preserve"> (14.312,59 euros + 21% IVA: 3.005,64 euros), </w:t>
      </w:r>
      <w:r w:rsidRPr="00AA04E3">
        <w:rPr>
          <w:lang w:val="ca-ES"/>
        </w:rPr>
        <w:t xml:space="preserve">amb les condicions següents: </w:t>
      </w:r>
    </w:p>
    <w:p w14:paraId="6C24D2C7" w14:textId="77777777" w:rsidR="00D55338" w:rsidRDefault="00D55338" w:rsidP="005E319C">
      <w:pPr>
        <w:numPr>
          <w:ilvl w:val="0"/>
          <w:numId w:val="1"/>
        </w:numPr>
        <w:suppressAutoHyphens/>
        <w:spacing w:after="120" w:line="276" w:lineRule="auto"/>
        <w:rPr>
          <w:rFonts w:cs="Arial"/>
          <w:noProof/>
          <w:lang w:val="ca-ES"/>
        </w:rPr>
      </w:pPr>
      <w:r w:rsidRPr="00BE13EB">
        <w:rPr>
          <w:rFonts w:cs="Arial"/>
          <w:noProof/>
          <w:lang w:val="ca-ES"/>
        </w:rPr>
        <w:t xml:space="preserve">Oferta econòmica per a una anualitat (part fixa): </w:t>
      </w:r>
      <w:r w:rsidRPr="00BE13EB">
        <w:rPr>
          <w:rFonts w:cs="Arial"/>
          <w:b/>
          <w:bCs/>
          <w:noProof/>
          <w:lang w:val="ca-ES"/>
        </w:rPr>
        <w:t>17.318,24 euros</w:t>
      </w:r>
      <w:r w:rsidRPr="00BE13EB">
        <w:rPr>
          <w:rFonts w:cs="Arial"/>
          <w:noProof/>
          <w:lang w:val="ca-ES"/>
        </w:rPr>
        <w:t xml:space="preserve"> (14.312,59 euros + 21% IVA: 3.005,64 euos).</w:t>
      </w:r>
    </w:p>
    <w:p w14:paraId="5BB71095" w14:textId="77777777" w:rsidR="00D55338" w:rsidRPr="00BE13EB" w:rsidRDefault="00D55338" w:rsidP="005E319C">
      <w:pPr>
        <w:numPr>
          <w:ilvl w:val="0"/>
          <w:numId w:val="1"/>
        </w:numPr>
        <w:suppressAutoHyphens/>
        <w:spacing w:after="120" w:line="276" w:lineRule="auto"/>
        <w:rPr>
          <w:rFonts w:cs="Arial"/>
          <w:noProof/>
          <w:lang w:val="ca-ES"/>
        </w:rPr>
      </w:pPr>
      <w:r w:rsidRPr="00BE13EB">
        <w:rPr>
          <w:rFonts w:cs="Arial"/>
          <w:color w:val="000000"/>
          <w:lang w:val="ca-ES" w:eastAsia="es-ES"/>
        </w:rPr>
        <w:t xml:space="preserve">Augment del termini de garantia aplicable sobre el mínim d’un any: </w:t>
      </w:r>
      <w:r w:rsidRPr="00BE13EB">
        <w:rPr>
          <w:rFonts w:cs="Arial"/>
          <w:b/>
          <w:bCs/>
          <w:color w:val="000000"/>
          <w:lang w:val="ca-ES" w:eastAsia="es-ES"/>
        </w:rPr>
        <w:t>3 anys.</w:t>
      </w:r>
    </w:p>
    <w:p w14:paraId="1903FA60" w14:textId="77777777" w:rsidR="00D55338" w:rsidRPr="00BE13EB" w:rsidRDefault="00D55338" w:rsidP="005E319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lang w:val="ca-ES" w:eastAsia="es-ES"/>
        </w:rPr>
      </w:pPr>
      <w:r w:rsidRPr="00BE13EB">
        <w:rPr>
          <w:rFonts w:cs="Arial"/>
          <w:color w:val="000000"/>
          <w:lang w:val="ca-ES" w:eastAsia="es-ES"/>
        </w:rPr>
        <w:t xml:space="preserve">Descompte aplicable sobre els elements del catàleg: </w:t>
      </w:r>
      <w:r>
        <w:rPr>
          <w:rFonts w:cs="Arial"/>
          <w:b/>
          <w:bCs/>
          <w:color w:val="000000"/>
          <w:lang w:val="ca-ES" w:eastAsia="es-ES"/>
        </w:rPr>
        <w:t>5</w:t>
      </w:r>
      <w:r w:rsidRPr="00BE13EB">
        <w:rPr>
          <w:rFonts w:cs="Arial"/>
          <w:b/>
          <w:bCs/>
          <w:color w:val="000000"/>
          <w:lang w:val="ca-ES" w:eastAsia="es-ES"/>
        </w:rPr>
        <w:t>%</w:t>
      </w:r>
    </w:p>
    <w:p w14:paraId="48A8EAF9" w14:textId="77777777" w:rsidR="00D55338" w:rsidRPr="00F2334A" w:rsidRDefault="00D55338" w:rsidP="006D2C30">
      <w:pPr>
        <w:spacing w:line="276" w:lineRule="auto"/>
        <w:rPr>
          <w:lang w:val="ca-ES" w:eastAsia="es-ES"/>
        </w:rPr>
      </w:pPr>
    </w:p>
    <w:p w14:paraId="134B31D8" w14:textId="77777777" w:rsidR="00D55338" w:rsidRPr="00AA04E3" w:rsidRDefault="00D55338" w:rsidP="006D2C30">
      <w:pPr>
        <w:spacing w:line="276" w:lineRule="auto"/>
        <w:rPr>
          <w:lang w:val="ca-ES" w:eastAsia="es-ES"/>
        </w:rPr>
      </w:pPr>
      <w:r>
        <w:rPr>
          <w:lang w:val="ca-ES" w:eastAsia="es-ES"/>
        </w:rPr>
        <w:t>Quart.</w:t>
      </w:r>
      <w:r w:rsidRPr="00F2334A">
        <w:rPr>
          <w:lang w:val="ca-ES" w:eastAsia="es-ES"/>
        </w:rPr>
        <w:t xml:space="preserve"> </w:t>
      </w:r>
      <w:r w:rsidRPr="00F2334A">
        <w:rPr>
          <w:lang w:val="ca-ES"/>
        </w:rPr>
        <w:t xml:space="preserve">Disposar una despesa per import de </w:t>
      </w:r>
      <w:r w:rsidRPr="00423097">
        <w:rPr>
          <w:b/>
          <w:bCs/>
          <w:lang w:val="ca-ES"/>
        </w:rPr>
        <w:t>34.636,48 euros</w:t>
      </w:r>
      <w:r w:rsidRPr="00F2334A">
        <w:rPr>
          <w:lang w:val="ca-ES"/>
        </w:rPr>
        <w:t xml:space="preserve"> (Preu: 28.625,18 euros + IVA 21%: 6.011,30 euros)</w:t>
      </w:r>
      <w:r>
        <w:rPr>
          <w:lang w:val="ca-ES"/>
        </w:rPr>
        <w:t xml:space="preserve">, corresponent a la part fixa del contracte, </w:t>
      </w:r>
      <w:r w:rsidRPr="00F2334A">
        <w:rPr>
          <w:lang w:val="ca-ES"/>
        </w:rPr>
        <w:t>a favor de la mercantil Parcs i Jardins Catalunya, S.L, amb CIF B61112652, amb càrrec a les aplicacions pressupostàries ST 17100-21000 i ST 32300 21200 del vigent pressupost municipal, condicionant la despesa de l’anualitat 2021 a l’existència de crèdit adequat i suficient i d’acord amb el següent</w:t>
      </w:r>
      <w:r w:rsidRPr="00AA04E3">
        <w:rPr>
          <w:lang w:val="ca-ES"/>
        </w:rPr>
        <w:t xml:space="preserve"> desglossament:</w:t>
      </w:r>
    </w:p>
    <w:p w14:paraId="46C3E7B6" w14:textId="77777777" w:rsidR="00D55338" w:rsidRDefault="00D55338" w:rsidP="006D2C30">
      <w:pPr>
        <w:spacing w:line="276" w:lineRule="auto"/>
        <w:rPr>
          <w:highlight w:val="yellow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839"/>
        <w:gridCol w:w="1752"/>
        <w:gridCol w:w="1244"/>
        <w:gridCol w:w="1884"/>
        <w:gridCol w:w="1790"/>
      </w:tblGrid>
      <w:tr w:rsidR="00D55338" w:rsidRPr="00395814" w14:paraId="2C8E0856" w14:textId="77777777" w:rsidTr="006D2C30">
        <w:tc>
          <w:tcPr>
            <w:tcW w:w="985" w:type="dxa"/>
            <w:shd w:val="clear" w:color="auto" w:fill="auto"/>
          </w:tcPr>
          <w:p w14:paraId="649D0C74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Exercici</w:t>
            </w:r>
          </w:p>
        </w:tc>
        <w:tc>
          <w:tcPr>
            <w:tcW w:w="824" w:type="dxa"/>
            <w:shd w:val="clear" w:color="auto" w:fill="auto"/>
          </w:tcPr>
          <w:p w14:paraId="77F3A816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Mesos</w:t>
            </w:r>
          </w:p>
        </w:tc>
        <w:tc>
          <w:tcPr>
            <w:tcW w:w="1843" w:type="dxa"/>
            <w:shd w:val="clear" w:color="auto" w:fill="auto"/>
          </w:tcPr>
          <w:p w14:paraId="59844E0D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Preu anualitat</w:t>
            </w:r>
          </w:p>
          <w:p w14:paraId="43B31E84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(sense IVA)</w:t>
            </w:r>
          </w:p>
        </w:tc>
        <w:tc>
          <w:tcPr>
            <w:tcW w:w="1276" w:type="dxa"/>
            <w:shd w:val="clear" w:color="auto" w:fill="auto"/>
          </w:tcPr>
          <w:p w14:paraId="49A686F8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IVA (21%)</w:t>
            </w:r>
          </w:p>
        </w:tc>
        <w:tc>
          <w:tcPr>
            <w:tcW w:w="1984" w:type="dxa"/>
            <w:shd w:val="clear" w:color="auto" w:fill="auto"/>
          </w:tcPr>
          <w:p w14:paraId="1494A9D8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Total anualitat (amb IVA)</w:t>
            </w:r>
          </w:p>
        </w:tc>
        <w:tc>
          <w:tcPr>
            <w:tcW w:w="1808" w:type="dxa"/>
            <w:shd w:val="clear" w:color="auto" w:fill="auto"/>
          </w:tcPr>
          <w:p w14:paraId="26447D77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Aplicació pressupostària</w:t>
            </w:r>
          </w:p>
        </w:tc>
      </w:tr>
      <w:tr w:rsidR="00D55338" w:rsidRPr="00395814" w14:paraId="3329DB08" w14:textId="77777777" w:rsidTr="006D2C30">
        <w:tc>
          <w:tcPr>
            <w:tcW w:w="985" w:type="dxa"/>
            <w:vMerge w:val="restart"/>
            <w:shd w:val="clear" w:color="auto" w:fill="auto"/>
          </w:tcPr>
          <w:p w14:paraId="5FE2975E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2020</w:t>
            </w:r>
          </w:p>
        </w:tc>
        <w:tc>
          <w:tcPr>
            <w:tcW w:w="824" w:type="dxa"/>
            <w:shd w:val="clear" w:color="auto" w:fill="auto"/>
          </w:tcPr>
          <w:p w14:paraId="12D5DFF8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31FDF95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9.252,75</w:t>
            </w:r>
          </w:p>
        </w:tc>
        <w:tc>
          <w:tcPr>
            <w:tcW w:w="1276" w:type="dxa"/>
            <w:shd w:val="clear" w:color="auto" w:fill="auto"/>
          </w:tcPr>
          <w:p w14:paraId="775487E7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1.943,08</w:t>
            </w:r>
          </w:p>
        </w:tc>
        <w:tc>
          <w:tcPr>
            <w:tcW w:w="1984" w:type="dxa"/>
            <w:shd w:val="clear" w:color="auto" w:fill="auto"/>
          </w:tcPr>
          <w:p w14:paraId="00EE935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11.195,83</w:t>
            </w:r>
          </w:p>
        </w:tc>
        <w:tc>
          <w:tcPr>
            <w:tcW w:w="1808" w:type="dxa"/>
            <w:shd w:val="clear" w:color="auto" w:fill="auto"/>
          </w:tcPr>
          <w:p w14:paraId="5B966191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ST-17100-21000</w:t>
            </w:r>
          </w:p>
        </w:tc>
      </w:tr>
      <w:tr w:rsidR="00D55338" w:rsidRPr="00395814" w14:paraId="147A23FE" w14:textId="77777777" w:rsidTr="006D2C30">
        <w:tc>
          <w:tcPr>
            <w:tcW w:w="985" w:type="dxa"/>
            <w:vMerge/>
            <w:shd w:val="clear" w:color="auto" w:fill="auto"/>
          </w:tcPr>
          <w:p w14:paraId="67C4A1AA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824" w:type="dxa"/>
            <w:shd w:val="clear" w:color="auto" w:fill="auto"/>
          </w:tcPr>
          <w:p w14:paraId="7D7AD5D7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6C6A8633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5.059,84</w:t>
            </w:r>
          </w:p>
        </w:tc>
        <w:tc>
          <w:tcPr>
            <w:tcW w:w="1276" w:type="dxa"/>
            <w:shd w:val="clear" w:color="auto" w:fill="auto"/>
          </w:tcPr>
          <w:p w14:paraId="4DAB3E59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1.062,57</w:t>
            </w:r>
          </w:p>
        </w:tc>
        <w:tc>
          <w:tcPr>
            <w:tcW w:w="1984" w:type="dxa"/>
            <w:shd w:val="clear" w:color="auto" w:fill="auto"/>
          </w:tcPr>
          <w:p w14:paraId="3D83C4DC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6.122,41</w:t>
            </w:r>
          </w:p>
        </w:tc>
        <w:tc>
          <w:tcPr>
            <w:tcW w:w="1808" w:type="dxa"/>
            <w:shd w:val="clear" w:color="auto" w:fill="auto"/>
          </w:tcPr>
          <w:p w14:paraId="0323EE50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ST-32300-21200</w:t>
            </w:r>
          </w:p>
        </w:tc>
      </w:tr>
      <w:tr w:rsidR="00D55338" w:rsidRPr="00395814" w14:paraId="7367319D" w14:textId="77777777" w:rsidTr="006D2C30">
        <w:tc>
          <w:tcPr>
            <w:tcW w:w="985" w:type="dxa"/>
            <w:vMerge w:val="restart"/>
            <w:shd w:val="clear" w:color="auto" w:fill="auto"/>
          </w:tcPr>
          <w:p w14:paraId="2CC39235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2021</w:t>
            </w:r>
          </w:p>
        </w:tc>
        <w:tc>
          <w:tcPr>
            <w:tcW w:w="824" w:type="dxa"/>
            <w:shd w:val="clear" w:color="auto" w:fill="auto"/>
          </w:tcPr>
          <w:p w14:paraId="65CCB7F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79B99DB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9.252,75</w:t>
            </w:r>
          </w:p>
        </w:tc>
        <w:tc>
          <w:tcPr>
            <w:tcW w:w="1276" w:type="dxa"/>
            <w:shd w:val="clear" w:color="auto" w:fill="auto"/>
          </w:tcPr>
          <w:p w14:paraId="60E3AD3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1.943,08</w:t>
            </w:r>
          </w:p>
        </w:tc>
        <w:tc>
          <w:tcPr>
            <w:tcW w:w="1984" w:type="dxa"/>
            <w:shd w:val="clear" w:color="auto" w:fill="auto"/>
          </w:tcPr>
          <w:p w14:paraId="197A463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11.195,83</w:t>
            </w:r>
          </w:p>
        </w:tc>
        <w:tc>
          <w:tcPr>
            <w:tcW w:w="1808" w:type="dxa"/>
            <w:shd w:val="clear" w:color="auto" w:fill="auto"/>
          </w:tcPr>
          <w:p w14:paraId="02E3ACC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ST-17100-21000</w:t>
            </w:r>
          </w:p>
        </w:tc>
      </w:tr>
      <w:tr w:rsidR="00D55338" w:rsidRPr="00395814" w14:paraId="6C72205E" w14:textId="77777777" w:rsidTr="006D2C30">
        <w:tc>
          <w:tcPr>
            <w:tcW w:w="985" w:type="dxa"/>
            <w:vMerge/>
            <w:shd w:val="clear" w:color="auto" w:fill="auto"/>
          </w:tcPr>
          <w:p w14:paraId="58E75B8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824" w:type="dxa"/>
            <w:shd w:val="clear" w:color="auto" w:fill="auto"/>
          </w:tcPr>
          <w:p w14:paraId="3EAE645E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434D3155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5.059,84</w:t>
            </w:r>
          </w:p>
        </w:tc>
        <w:tc>
          <w:tcPr>
            <w:tcW w:w="1276" w:type="dxa"/>
            <w:shd w:val="clear" w:color="auto" w:fill="auto"/>
          </w:tcPr>
          <w:p w14:paraId="036A52CA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1.062,57</w:t>
            </w:r>
          </w:p>
        </w:tc>
        <w:tc>
          <w:tcPr>
            <w:tcW w:w="1984" w:type="dxa"/>
            <w:shd w:val="clear" w:color="auto" w:fill="auto"/>
          </w:tcPr>
          <w:p w14:paraId="20F6B8B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6.122,41</w:t>
            </w:r>
          </w:p>
        </w:tc>
        <w:tc>
          <w:tcPr>
            <w:tcW w:w="1808" w:type="dxa"/>
            <w:shd w:val="clear" w:color="auto" w:fill="auto"/>
          </w:tcPr>
          <w:p w14:paraId="341A350E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ST-32300-21200</w:t>
            </w:r>
          </w:p>
        </w:tc>
      </w:tr>
    </w:tbl>
    <w:p w14:paraId="71509E85" w14:textId="77777777" w:rsidR="00D55338" w:rsidRDefault="00D55338" w:rsidP="006D2C30">
      <w:pPr>
        <w:spacing w:line="276" w:lineRule="auto"/>
        <w:rPr>
          <w:highlight w:val="yellow"/>
          <w:lang w:val="ca-ES" w:eastAsia="es-ES"/>
        </w:rPr>
      </w:pPr>
    </w:p>
    <w:p w14:paraId="3CDE5591" w14:textId="77777777" w:rsidR="00D55338" w:rsidRPr="00AA04E3" w:rsidRDefault="00D55338" w:rsidP="006D2C30">
      <w:pPr>
        <w:spacing w:line="276" w:lineRule="auto"/>
        <w:rPr>
          <w:lang w:val="ca-ES" w:eastAsia="es-ES"/>
        </w:rPr>
      </w:pPr>
      <w:r>
        <w:rPr>
          <w:lang w:val="ca-ES" w:eastAsia="es-ES"/>
        </w:rPr>
        <w:t>Cinquè</w:t>
      </w:r>
      <w:r w:rsidRPr="00FA689D">
        <w:rPr>
          <w:lang w:val="ca-ES" w:eastAsia="es-ES"/>
        </w:rPr>
        <w:t xml:space="preserve">. Disposar una despesa per import de </w:t>
      </w:r>
      <w:r w:rsidRPr="00FA689D">
        <w:rPr>
          <w:b/>
          <w:bCs/>
          <w:lang w:val="ca-ES" w:eastAsia="es-ES"/>
        </w:rPr>
        <w:t>36.381,31 euros</w:t>
      </w:r>
      <w:r w:rsidRPr="00FA689D">
        <w:rPr>
          <w:lang w:val="ca-ES" w:eastAsia="es-ES"/>
        </w:rPr>
        <w:t xml:space="preserve"> (Preu: 30.067,20 euros + IVA 21%: 6.314,11 euros), corresponent a la part variable del contracte, a favor de la mercantil Parcs i Jardins Catalunya, S.L.,</w:t>
      </w:r>
      <w:r>
        <w:rPr>
          <w:lang w:val="ca-ES" w:eastAsia="es-ES"/>
        </w:rPr>
        <w:t xml:space="preserve"> </w:t>
      </w:r>
      <w:r w:rsidRPr="00FA689D">
        <w:rPr>
          <w:lang w:val="ca-ES"/>
        </w:rPr>
        <w:t>amb CIF B61112652, amb càrrec a les aplicacions pressupostàries ST 17100-21000</w:t>
      </w:r>
      <w:r w:rsidRPr="00F2334A">
        <w:rPr>
          <w:lang w:val="ca-ES"/>
        </w:rPr>
        <w:t xml:space="preserve"> i ST 32300 21200 del vigent pressupost municipal, condicionant la despesa de l’anualitat 2021 a l’existència de crèdit adequat i suficient i d’acord amb el següent</w:t>
      </w:r>
      <w:r w:rsidRPr="00AA04E3">
        <w:rPr>
          <w:lang w:val="ca-ES"/>
        </w:rPr>
        <w:t xml:space="preserve"> desglossament:</w:t>
      </w:r>
    </w:p>
    <w:p w14:paraId="38858241" w14:textId="77777777" w:rsidR="00D55338" w:rsidRDefault="00D55338" w:rsidP="006D2C30">
      <w:pPr>
        <w:spacing w:line="276" w:lineRule="auto"/>
        <w:rPr>
          <w:highlight w:val="yellow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839"/>
        <w:gridCol w:w="1757"/>
        <w:gridCol w:w="1243"/>
        <w:gridCol w:w="1881"/>
        <w:gridCol w:w="1789"/>
      </w:tblGrid>
      <w:tr w:rsidR="00D55338" w:rsidRPr="00395814" w14:paraId="68B48961" w14:textId="77777777" w:rsidTr="006D2C30">
        <w:tc>
          <w:tcPr>
            <w:tcW w:w="985" w:type="dxa"/>
            <w:shd w:val="clear" w:color="auto" w:fill="auto"/>
          </w:tcPr>
          <w:p w14:paraId="74E2C4A3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Exercici</w:t>
            </w:r>
          </w:p>
        </w:tc>
        <w:tc>
          <w:tcPr>
            <w:tcW w:w="824" w:type="dxa"/>
            <w:shd w:val="clear" w:color="auto" w:fill="auto"/>
          </w:tcPr>
          <w:p w14:paraId="3A9E96EE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Mesos</w:t>
            </w:r>
          </w:p>
        </w:tc>
        <w:tc>
          <w:tcPr>
            <w:tcW w:w="1843" w:type="dxa"/>
            <w:shd w:val="clear" w:color="auto" w:fill="auto"/>
          </w:tcPr>
          <w:p w14:paraId="7110E9B9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Preu anualitat</w:t>
            </w:r>
          </w:p>
          <w:p w14:paraId="30E34011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(sense IVA)</w:t>
            </w:r>
          </w:p>
        </w:tc>
        <w:tc>
          <w:tcPr>
            <w:tcW w:w="1276" w:type="dxa"/>
            <w:shd w:val="clear" w:color="auto" w:fill="auto"/>
          </w:tcPr>
          <w:p w14:paraId="191D8859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IVA (21%)</w:t>
            </w:r>
          </w:p>
        </w:tc>
        <w:tc>
          <w:tcPr>
            <w:tcW w:w="1984" w:type="dxa"/>
            <w:shd w:val="clear" w:color="auto" w:fill="auto"/>
          </w:tcPr>
          <w:p w14:paraId="1D046C57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Total anualitat (amb IVA)</w:t>
            </w:r>
          </w:p>
        </w:tc>
        <w:tc>
          <w:tcPr>
            <w:tcW w:w="1808" w:type="dxa"/>
            <w:shd w:val="clear" w:color="auto" w:fill="auto"/>
          </w:tcPr>
          <w:p w14:paraId="4DBD0D50" w14:textId="77777777" w:rsidR="00D55338" w:rsidRPr="00395814" w:rsidRDefault="00D55338" w:rsidP="006D2C3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395814">
              <w:rPr>
                <w:b/>
                <w:bCs/>
                <w:sz w:val="20"/>
                <w:szCs w:val="20"/>
                <w:lang w:val="ca-ES" w:eastAsia="es-ES"/>
              </w:rPr>
              <w:t>Aplicació pressupostària</w:t>
            </w:r>
          </w:p>
        </w:tc>
      </w:tr>
      <w:tr w:rsidR="00D55338" w:rsidRPr="00395814" w14:paraId="26962EC9" w14:textId="77777777" w:rsidTr="006D2C30">
        <w:tc>
          <w:tcPr>
            <w:tcW w:w="985" w:type="dxa"/>
            <w:vMerge w:val="restart"/>
            <w:shd w:val="clear" w:color="auto" w:fill="auto"/>
          </w:tcPr>
          <w:p w14:paraId="71074DD7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2020</w:t>
            </w:r>
          </w:p>
        </w:tc>
        <w:tc>
          <w:tcPr>
            <w:tcW w:w="824" w:type="dxa"/>
            <w:shd w:val="clear" w:color="auto" w:fill="auto"/>
          </w:tcPr>
          <w:p w14:paraId="404217C2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4296419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12.528,00</w:t>
            </w:r>
          </w:p>
        </w:tc>
        <w:tc>
          <w:tcPr>
            <w:tcW w:w="1276" w:type="dxa"/>
            <w:shd w:val="clear" w:color="auto" w:fill="auto"/>
          </w:tcPr>
          <w:p w14:paraId="196049EE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2.630,88</w:t>
            </w:r>
          </w:p>
        </w:tc>
        <w:tc>
          <w:tcPr>
            <w:tcW w:w="1984" w:type="dxa"/>
            <w:shd w:val="clear" w:color="auto" w:fill="auto"/>
          </w:tcPr>
          <w:p w14:paraId="1E00E8C9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15.158,88</w:t>
            </w:r>
          </w:p>
        </w:tc>
        <w:tc>
          <w:tcPr>
            <w:tcW w:w="1808" w:type="dxa"/>
            <w:shd w:val="clear" w:color="auto" w:fill="auto"/>
          </w:tcPr>
          <w:p w14:paraId="23EF18C6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ST-17100-21000</w:t>
            </w:r>
          </w:p>
        </w:tc>
      </w:tr>
      <w:tr w:rsidR="00D55338" w:rsidRPr="00395814" w14:paraId="2C99B0B0" w14:textId="77777777" w:rsidTr="006D2C30">
        <w:tc>
          <w:tcPr>
            <w:tcW w:w="985" w:type="dxa"/>
            <w:vMerge/>
            <w:shd w:val="clear" w:color="auto" w:fill="auto"/>
          </w:tcPr>
          <w:p w14:paraId="6A8D9A1A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824" w:type="dxa"/>
            <w:shd w:val="clear" w:color="auto" w:fill="auto"/>
          </w:tcPr>
          <w:p w14:paraId="555DC36A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091EAFE6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2.505,60</w:t>
            </w:r>
          </w:p>
        </w:tc>
        <w:tc>
          <w:tcPr>
            <w:tcW w:w="1276" w:type="dxa"/>
            <w:shd w:val="clear" w:color="auto" w:fill="auto"/>
          </w:tcPr>
          <w:p w14:paraId="794EBDBA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526,18</w:t>
            </w:r>
          </w:p>
        </w:tc>
        <w:tc>
          <w:tcPr>
            <w:tcW w:w="1984" w:type="dxa"/>
            <w:shd w:val="clear" w:color="auto" w:fill="auto"/>
          </w:tcPr>
          <w:p w14:paraId="5CD18B18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3.031,78</w:t>
            </w:r>
          </w:p>
        </w:tc>
        <w:tc>
          <w:tcPr>
            <w:tcW w:w="1808" w:type="dxa"/>
            <w:shd w:val="clear" w:color="auto" w:fill="auto"/>
          </w:tcPr>
          <w:p w14:paraId="6DD201BD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ST-32300-21200</w:t>
            </w:r>
          </w:p>
        </w:tc>
      </w:tr>
      <w:tr w:rsidR="00D55338" w:rsidRPr="00395814" w14:paraId="7326BBFF" w14:textId="77777777" w:rsidTr="006D2C30">
        <w:tc>
          <w:tcPr>
            <w:tcW w:w="985" w:type="dxa"/>
            <w:vMerge w:val="restart"/>
            <w:shd w:val="clear" w:color="auto" w:fill="auto"/>
          </w:tcPr>
          <w:p w14:paraId="1F1C21B0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2021</w:t>
            </w:r>
          </w:p>
        </w:tc>
        <w:tc>
          <w:tcPr>
            <w:tcW w:w="824" w:type="dxa"/>
            <w:shd w:val="clear" w:color="auto" w:fill="auto"/>
          </w:tcPr>
          <w:p w14:paraId="154516E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168D98EE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12.528,00</w:t>
            </w:r>
          </w:p>
        </w:tc>
        <w:tc>
          <w:tcPr>
            <w:tcW w:w="1276" w:type="dxa"/>
            <w:shd w:val="clear" w:color="auto" w:fill="auto"/>
          </w:tcPr>
          <w:p w14:paraId="5130AE96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2.630,88</w:t>
            </w:r>
          </w:p>
        </w:tc>
        <w:tc>
          <w:tcPr>
            <w:tcW w:w="1984" w:type="dxa"/>
            <w:shd w:val="clear" w:color="auto" w:fill="auto"/>
          </w:tcPr>
          <w:p w14:paraId="53A69F4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15.158,88</w:t>
            </w:r>
          </w:p>
        </w:tc>
        <w:tc>
          <w:tcPr>
            <w:tcW w:w="1808" w:type="dxa"/>
            <w:shd w:val="clear" w:color="auto" w:fill="auto"/>
          </w:tcPr>
          <w:p w14:paraId="3A3A8C57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ST-17100-21000</w:t>
            </w:r>
          </w:p>
        </w:tc>
      </w:tr>
      <w:tr w:rsidR="00D55338" w:rsidRPr="00395814" w14:paraId="3F60FD5F" w14:textId="77777777" w:rsidTr="006D2C30">
        <w:tc>
          <w:tcPr>
            <w:tcW w:w="985" w:type="dxa"/>
            <w:vMerge/>
            <w:shd w:val="clear" w:color="auto" w:fill="auto"/>
          </w:tcPr>
          <w:p w14:paraId="30071009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824" w:type="dxa"/>
            <w:shd w:val="clear" w:color="auto" w:fill="auto"/>
          </w:tcPr>
          <w:p w14:paraId="19FF006A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66BF9F7F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2.505,60</w:t>
            </w:r>
          </w:p>
        </w:tc>
        <w:tc>
          <w:tcPr>
            <w:tcW w:w="1276" w:type="dxa"/>
            <w:shd w:val="clear" w:color="auto" w:fill="auto"/>
          </w:tcPr>
          <w:p w14:paraId="6056C5CB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526,18</w:t>
            </w:r>
          </w:p>
        </w:tc>
        <w:tc>
          <w:tcPr>
            <w:tcW w:w="1984" w:type="dxa"/>
            <w:shd w:val="clear" w:color="auto" w:fill="auto"/>
          </w:tcPr>
          <w:p w14:paraId="7BEEE3D8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3.031,78</w:t>
            </w:r>
          </w:p>
        </w:tc>
        <w:tc>
          <w:tcPr>
            <w:tcW w:w="1808" w:type="dxa"/>
            <w:shd w:val="clear" w:color="auto" w:fill="auto"/>
          </w:tcPr>
          <w:p w14:paraId="16A7D347" w14:textId="77777777" w:rsidR="00D55338" w:rsidRPr="00395814" w:rsidRDefault="00D55338" w:rsidP="006D2C30">
            <w:pPr>
              <w:spacing w:line="276" w:lineRule="auto"/>
              <w:jc w:val="center"/>
              <w:rPr>
                <w:sz w:val="20"/>
                <w:szCs w:val="20"/>
                <w:lang w:val="ca-ES" w:eastAsia="es-ES"/>
              </w:rPr>
            </w:pPr>
            <w:r w:rsidRPr="00395814">
              <w:rPr>
                <w:sz w:val="20"/>
                <w:szCs w:val="20"/>
                <w:lang w:val="ca-ES" w:eastAsia="es-ES"/>
              </w:rPr>
              <w:t>ST-32300-21200</w:t>
            </w:r>
          </w:p>
        </w:tc>
      </w:tr>
    </w:tbl>
    <w:p w14:paraId="06E4F04B" w14:textId="77777777" w:rsidR="00D55338" w:rsidRPr="00994A89" w:rsidRDefault="00D55338" w:rsidP="006D2C30">
      <w:pPr>
        <w:spacing w:line="276" w:lineRule="auto"/>
        <w:rPr>
          <w:highlight w:val="yellow"/>
          <w:lang w:val="ca-ES" w:eastAsia="es-ES"/>
        </w:rPr>
      </w:pPr>
    </w:p>
    <w:p w14:paraId="17E32B5D" w14:textId="77777777" w:rsidR="00D55338" w:rsidRPr="00994A89" w:rsidRDefault="00D55338" w:rsidP="006D2C30">
      <w:pPr>
        <w:spacing w:line="276" w:lineRule="auto"/>
        <w:rPr>
          <w:lang w:val="ca-ES"/>
        </w:rPr>
      </w:pPr>
      <w:r>
        <w:rPr>
          <w:lang w:val="ca-ES" w:eastAsia="es-ES"/>
        </w:rPr>
        <w:t>Sisè</w:t>
      </w:r>
      <w:r w:rsidRPr="00994A89">
        <w:rPr>
          <w:lang w:val="ca-ES" w:eastAsia="es-ES"/>
        </w:rPr>
        <w:t xml:space="preserve">. </w:t>
      </w:r>
      <w:r w:rsidRPr="00994A89">
        <w:rPr>
          <w:lang w:val="ca-ES"/>
        </w:rPr>
        <w:t xml:space="preserve">Notificar aquest acord a la mercantil </w:t>
      </w:r>
      <w:r>
        <w:rPr>
          <w:lang w:val="ca-ES"/>
        </w:rPr>
        <w:t>Parcs i Jardins Catalunya</w:t>
      </w:r>
      <w:r w:rsidRPr="00994A89">
        <w:rPr>
          <w:lang w:val="ca-ES"/>
        </w:rPr>
        <w:t>, S.</w:t>
      </w:r>
      <w:r>
        <w:rPr>
          <w:lang w:val="ca-ES"/>
        </w:rPr>
        <w:t>L</w:t>
      </w:r>
      <w:r w:rsidRPr="00994A89">
        <w:rPr>
          <w:lang w:val="ca-ES"/>
        </w:rPr>
        <w:t>, per a que, en el termini de 15 dies hàbils a comptar des del següent a la notificació de l’adjudicació d’aquest acord, procedeixi a la formalització del contracte administratiu, de conformitat amb el disposat a l’article 156.3 del TRLCSP, així com a la resta d’empreses que han participat a la licitació.</w:t>
      </w:r>
    </w:p>
    <w:p w14:paraId="01035885" w14:textId="77777777" w:rsidR="00D55338" w:rsidRPr="00994A89" w:rsidRDefault="00D55338" w:rsidP="006D2C30">
      <w:pPr>
        <w:spacing w:line="276" w:lineRule="auto"/>
        <w:rPr>
          <w:lang w:val="ca-ES"/>
        </w:rPr>
      </w:pPr>
    </w:p>
    <w:p w14:paraId="78678F99" w14:textId="77777777" w:rsidR="00D55338" w:rsidRPr="00994A89" w:rsidRDefault="00D55338" w:rsidP="006D2C30">
      <w:pPr>
        <w:spacing w:line="276" w:lineRule="auto"/>
        <w:rPr>
          <w:lang w:val="ca-ES"/>
        </w:rPr>
      </w:pPr>
      <w:r>
        <w:rPr>
          <w:lang w:val="ca-ES"/>
        </w:rPr>
        <w:t>Setè</w:t>
      </w:r>
      <w:r w:rsidRPr="00994A89">
        <w:rPr>
          <w:lang w:val="ca-ES"/>
        </w:rPr>
        <w:t>. Facultar al Sr. Alcalde per a la signatura del contracte i quanta documentació sigui necessària per al correcte desenvolupament d’aquest contracte</w:t>
      </w:r>
    </w:p>
    <w:p w14:paraId="37FCE402" w14:textId="77777777" w:rsidR="00D55338" w:rsidRPr="00994A89" w:rsidRDefault="00D55338" w:rsidP="006D2C30">
      <w:pPr>
        <w:spacing w:line="276" w:lineRule="auto"/>
        <w:rPr>
          <w:lang w:val="ca-ES"/>
        </w:rPr>
      </w:pPr>
    </w:p>
    <w:p w14:paraId="7BC3F6AA" w14:textId="77777777" w:rsidR="00D55338" w:rsidRPr="00994A89" w:rsidRDefault="00D55338" w:rsidP="006D2C30">
      <w:pPr>
        <w:spacing w:line="276" w:lineRule="auto"/>
        <w:rPr>
          <w:highlight w:val="yellow"/>
          <w:lang w:val="ca-ES" w:eastAsia="es-ES"/>
        </w:rPr>
      </w:pPr>
      <w:r>
        <w:rPr>
          <w:lang w:val="ca-ES"/>
        </w:rPr>
        <w:t>Vuitè</w:t>
      </w:r>
      <w:r w:rsidRPr="00994A89">
        <w:rPr>
          <w:lang w:val="ca-ES"/>
        </w:rPr>
        <w:t>. Designar com a responsable del contracte, en els termes de l’article 52 del TRLCSP</w:t>
      </w:r>
      <w:r>
        <w:rPr>
          <w:lang w:val="ca-ES"/>
        </w:rPr>
        <w:t xml:space="preserve"> a</w:t>
      </w:r>
      <w:r w:rsidRPr="00994A89">
        <w:rPr>
          <w:lang w:val="ca-ES"/>
        </w:rPr>
        <w:t xml:space="preserve"> l’enginyera municipal, la Sra. Sandra Mayo Chao.</w:t>
      </w:r>
    </w:p>
    <w:p w14:paraId="27DAE513" w14:textId="77777777" w:rsidR="00D55338" w:rsidRPr="00994A89" w:rsidRDefault="00D55338" w:rsidP="006D2C30">
      <w:pPr>
        <w:spacing w:line="276" w:lineRule="auto"/>
        <w:rPr>
          <w:highlight w:val="yellow"/>
          <w:lang w:val="ca-ES" w:eastAsia="es-ES"/>
        </w:rPr>
      </w:pPr>
    </w:p>
    <w:p w14:paraId="1392D38F" w14:textId="77777777" w:rsidR="00D55338" w:rsidRPr="00994A89" w:rsidRDefault="00D55338" w:rsidP="006D2C30">
      <w:pPr>
        <w:spacing w:line="276" w:lineRule="auto"/>
        <w:rPr>
          <w:lang w:val="ca-ES"/>
        </w:rPr>
      </w:pPr>
      <w:r>
        <w:rPr>
          <w:lang w:val="ca-ES" w:eastAsia="es-ES"/>
        </w:rPr>
        <w:t>Novè</w:t>
      </w:r>
      <w:r w:rsidRPr="00994A89">
        <w:rPr>
          <w:lang w:val="ca-ES" w:eastAsia="es-ES"/>
        </w:rPr>
        <w:t xml:space="preserve">. </w:t>
      </w:r>
      <w:r w:rsidRPr="00994A89">
        <w:rPr>
          <w:lang w:val="ca-ES"/>
        </w:rPr>
        <w:t>Publicar aquest acord al Perfil del contractant de l’Ajuntament de Vilassar de Mar.</w:t>
      </w:r>
    </w:p>
    <w:p w14:paraId="02CADDA2" w14:textId="77777777" w:rsidR="00D55338" w:rsidRPr="00994A89" w:rsidRDefault="00D55338" w:rsidP="006D2C30">
      <w:pPr>
        <w:spacing w:line="276" w:lineRule="auto"/>
        <w:rPr>
          <w:lang w:val="ca-ES"/>
        </w:rPr>
      </w:pPr>
    </w:p>
    <w:p w14:paraId="3BA54AAC" w14:textId="77777777" w:rsidR="00477F4A" w:rsidRDefault="00477F4A" w:rsidP="00477F4A">
      <w:pPr>
        <w:rPr>
          <w:rFonts w:cs="Arial"/>
          <w:lang w:val="ca-ES"/>
        </w:rPr>
      </w:pPr>
      <w:bookmarkStart w:id="4" w:name="DOCUMENTO_5644194"/>
      <w:bookmarkStart w:id="5" w:name="DOCUMENTO_5732253"/>
      <w:bookmarkEnd w:id="3"/>
      <w:bookmarkEnd w:id="4"/>
      <w:bookmarkEnd w:id="5"/>
      <w:r>
        <w:rPr>
          <w:rFonts w:cs="Arial"/>
          <w:b/>
          <w:lang w:val="ca-ES"/>
        </w:rPr>
        <w:t>4.0.- ACCEPTACIÓ DEL RECURS MATERIAL CONSISTENT EN LA CESSIÓ DE DUES BICICLETES ELÈCTRIQUES, EN EL MARC DEL CATÀLEG DE SERVEIS DE L’ANY 2018 DE LA DIPUTACIÓ DE BARCELONA EXP. X2018000847</w:t>
      </w:r>
    </w:p>
    <w:p w14:paraId="4F2E7284" w14:textId="77777777" w:rsidR="00477F4A" w:rsidRDefault="00477F4A" w:rsidP="00477F4A">
      <w:pPr>
        <w:rPr>
          <w:rFonts w:cs="Arial"/>
          <w:lang w:val="ca-ES"/>
        </w:rPr>
      </w:pPr>
    </w:p>
    <w:p w14:paraId="358EC4DA" w14:textId="77777777" w:rsidR="00477F4A" w:rsidRPr="002602EF" w:rsidRDefault="00477F4A" w:rsidP="003959C8">
      <w:pPr>
        <w:rPr>
          <w:b/>
          <w:kern w:val="22"/>
          <w:lang w:val="ca-ES" w:eastAsia="es-ES"/>
        </w:rPr>
      </w:pPr>
      <w:bookmarkStart w:id="6" w:name="X2018000847"/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4122B0DE" w14:textId="77777777" w:rsidR="00477F4A" w:rsidRPr="0013263C" w:rsidRDefault="00477F4A" w:rsidP="003959C8">
      <w:pPr>
        <w:spacing w:before="120" w:after="120"/>
        <w:rPr>
          <w:lang w:val="ca-ES"/>
        </w:rPr>
      </w:pPr>
      <w:r>
        <w:rPr>
          <w:lang w:val="ca-ES"/>
        </w:rPr>
        <w:t>Primer. A</w:t>
      </w:r>
      <w:r w:rsidRPr="0013263C">
        <w:rPr>
          <w:lang w:val="ca-ES"/>
        </w:rPr>
        <w:t>cceptar el recurs material consistent en la cessió en propietat d</w:t>
      </w:r>
      <w:r>
        <w:rPr>
          <w:lang w:val="ca-ES"/>
        </w:rPr>
        <w:t>e dues</w:t>
      </w:r>
      <w:r w:rsidRPr="0013263C">
        <w:rPr>
          <w:lang w:val="ca-ES"/>
        </w:rPr>
        <w:t xml:space="preserve"> biciclet</w:t>
      </w:r>
      <w:r>
        <w:rPr>
          <w:lang w:val="ca-ES"/>
        </w:rPr>
        <w:t>es</w:t>
      </w:r>
      <w:r w:rsidRPr="0013263C">
        <w:rPr>
          <w:lang w:val="ca-ES"/>
        </w:rPr>
        <w:t xml:space="preserve"> elèctri</w:t>
      </w:r>
      <w:r>
        <w:rPr>
          <w:lang w:val="ca-ES"/>
        </w:rPr>
        <w:t>ques</w:t>
      </w:r>
      <w:r w:rsidRPr="0013263C">
        <w:rPr>
          <w:lang w:val="ca-ES"/>
        </w:rPr>
        <w:t>, concedit per la Diputació de Barcelona, en el marc del Catàleg de Serveis de l’any 201</w:t>
      </w:r>
      <w:r>
        <w:rPr>
          <w:lang w:val="ca-ES"/>
        </w:rPr>
        <w:t>8</w:t>
      </w:r>
      <w:r w:rsidRPr="0013263C">
        <w:rPr>
          <w:lang w:val="ca-ES"/>
        </w:rPr>
        <w:t xml:space="preserve"> del Pla “Xarxa de Governs Locals 2016-2019”</w:t>
      </w:r>
    </w:p>
    <w:p w14:paraId="6AE80E09" w14:textId="77777777" w:rsidR="00477F4A" w:rsidRDefault="00477F4A" w:rsidP="003959C8">
      <w:pPr>
        <w:autoSpaceDE w:val="0"/>
        <w:autoSpaceDN w:val="0"/>
        <w:adjustRightInd w:val="0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Segon. Tramitar electrònicament el document normalitzat “Recepció de béns”, degudament emplenat, com a màxim en el termini d’un mes, comptat a partir de la data de recepció del lliurament.</w:t>
      </w:r>
    </w:p>
    <w:p w14:paraId="636F63DB" w14:textId="77777777" w:rsidR="00477F4A" w:rsidRDefault="00477F4A" w:rsidP="003959C8">
      <w:pPr>
        <w:rPr>
          <w:rFonts w:cs="Arial"/>
          <w:lang w:val="ca-ES"/>
        </w:rPr>
      </w:pPr>
    </w:p>
    <w:p w14:paraId="4356BAAD" w14:textId="77777777" w:rsidR="00477F4A" w:rsidRDefault="00477F4A" w:rsidP="0025654E">
      <w:pPr>
        <w:rPr>
          <w:lang w:val="ca-ES"/>
        </w:rPr>
      </w:pPr>
      <w:bookmarkStart w:id="7" w:name="DOCUMENTO_5616928"/>
      <w:bookmarkEnd w:id="7"/>
    </w:p>
    <w:p w14:paraId="71444AD2" w14:textId="77777777" w:rsidR="00B20B9C" w:rsidRDefault="00B20B9C" w:rsidP="00B20B9C">
      <w:pPr>
        <w:rPr>
          <w:rFonts w:cs="Arial"/>
          <w:lang w:val="ca-ES"/>
        </w:rPr>
      </w:pPr>
      <w:bookmarkStart w:id="8" w:name="DOCUMENTO_5732256"/>
      <w:bookmarkEnd w:id="6"/>
      <w:bookmarkEnd w:id="8"/>
      <w:r>
        <w:rPr>
          <w:rFonts w:cs="Arial"/>
          <w:b/>
          <w:lang w:val="ca-ES"/>
        </w:rPr>
        <w:lastRenderedPageBreak/>
        <w:t>5.0.- ACCEPTACIÓ DEL RECURS MATERIAL CONSISTENT EN LA CESSIÓ D’UNA BICICLETA ELÈCTRICA, EN EL MARC DEL CATÀLEG DE SERVEIS DE L’ANY 2019 DE LA DIPUTACIÓ DE BARCELONA EXP. X2019000459</w:t>
      </w:r>
    </w:p>
    <w:p w14:paraId="63F76188" w14:textId="77777777" w:rsidR="00B20B9C" w:rsidRDefault="00B20B9C" w:rsidP="00B20B9C">
      <w:pPr>
        <w:rPr>
          <w:rFonts w:cs="Arial"/>
          <w:lang w:val="ca-ES"/>
        </w:rPr>
      </w:pPr>
    </w:p>
    <w:p w14:paraId="13C94675" w14:textId="77777777" w:rsidR="00B20B9C" w:rsidRDefault="00B20B9C" w:rsidP="002636AB">
      <w:pPr>
        <w:rPr>
          <w:kern w:val="22"/>
          <w:lang w:val="ca-ES" w:eastAsia="es-ES"/>
        </w:rPr>
      </w:pPr>
      <w:bookmarkStart w:id="9" w:name="X2019000459"/>
    </w:p>
    <w:p w14:paraId="2BA0AC3B" w14:textId="77777777" w:rsidR="00B20B9C" w:rsidRPr="002602EF" w:rsidRDefault="00B20B9C" w:rsidP="002636AB">
      <w:pPr>
        <w:rPr>
          <w:b/>
          <w:kern w:val="22"/>
          <w:lang w:val="ca-ES" w:eastAsia="es-ES"/>
        </w:rPr>
      </w:pPr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4DFC0FFA" w14:textId="77777777" w:rsidR="00B20B9C" w:rsidRPr="0013263C" w:rsidRDefault="00B20B9C" w:rsidP="002636AB">
      <w:pPr>
        <w:spacing w:before="120" w:after="120"/>
        <w:rPr>
          <w:lang w:val="ca-ES"/>
        </w:rPr>
      </w:pPr>
      <w:r>
        <w:rPr>
          <w:lang w:val="ca-ES"/>
        </w:rPr>
        <w:t>Primer. A</w:t>
      </w:r>
      <w:r w:rsidRPr="0013263C">
        <w:rPr>
          <w:lang w:val="ca-ES"/>
        </w:rPr>
        <w:t>cceptar el recurs material consistent en la cessió en propietat d</w:t>
      </w:r>
      <w:r>
        <w:rPr>
          <w:lang w:val="ca-ES"/>
        </w:rPr>
        <w:t xml:space="preserve">’una </w:t>
      </w:r>
      <w:r w:rsidRPr="0013263C">
        <w:rPr>
          <w:lang w:val="ca-ES"/>
        </w:rPr>
        <w:t>biciclet</w:t>
      </w:r>
      <w:r>
        <w:rPr>
          <w:lang w:val="ca-ES"/>
        </w:rPr>
        <w:t>a</w:t>
      </w:r>
      <w:r w:rsidRPr="0013263C">
        <w:rPr>
          <w:lang w:val="ca-ES"/>
        </w:rPr>
        <w:t xml:space="preserve"> elèctri</w:t>
      </w:r>
      <w:r>
        <w:rPr>
          <w:lang w:val="ca-ES"/>
        </w:rPr>
        <w:t>ca</w:t>
      </w:r>
      <w:r w:rsidRPr="0013263C">
        <w:rPr>
          <w:lang w:val="ca-ES"/>
        </w:rPr>
        <w:t>,</w:t>
      </w:r>
      <w:r w:rsidRPr="00163000">
        <w:rPr>
          <w:lang w:val="ca-ES"/>
        </w:rPr>
        <w:t xml:space="preserve"> </w:t>
      </w:r>
      <w:r>
        <w:rPr>
          <w:lang w:val="ca-ES"/>
        </w:rPr>
        <w:t>amb un valor unitari de 930,49 €,</w:t>
      </w:r>
      <w:r w:rsidRPr="0013263C">
        <w:rPr>
          <w:lang w:val="ca-ES"/>
        </w:rPr>
        <w:t xml:space="preserve"> concedit per la Diputació de Barcelona, en el marc del Catàleg de Serveis de l’any 201</w:t>
      </w:r>
      <w:r>
        <w:rPr>
          <w:lang w:val="ca-ES"/>
        </w:rPr>
        <w:t>9</w:t>
      </w:r>
      <w:r w:rsidRPr="0013263C">
        <w:rPr>
          <w:lang w:val="ca-ES"/>
        </w:rPr>
        <w:t xml:space="preserve"> del Pla “Xarxa de Governs Locals 2016-2019”</w:t>
      </w:r>
    </w:p>
    <w:p w14:paraId="59FDBAAB" w14:textId="77777777" w:rsidR="00B20B9C" w:rsidRDefault="00B20B9C" w:rsidP="002636AB">
      <w:pPr>
        <w:autoSpaceDE w:val="0"/>
        <w:autoSpaceDN w:val="0"/>
        <w:adjustRightInd w:val="0"/>
        <w:rPr>
          <w:rFonts w:cs="Arial"/>
          <w:lang w:val="ca-ES" w:eastAsia="ca-ES"/>
        </w:rPr>
      </w:pPr>
      <w:r>
        <w:rPr>
          <w:rFonts w:cs="Arial"/>
          <w:lang w:val="ca-ES" w:eastAsia="ca-ES"/>
        </w:rPr>
        <w:t>Segon. Tramitar electrònicament el document normalitzat “Recepció de béns”, degudament emplenat, com a màxim en el termini d’un mes, comptat a partir de la data de recepció del lliurament.</w:t>
      </w:r>
    </w:p>
    <w:p w14:paraId="75EF0B95" w14:textId="77777777" w:rsidR="00B20B9C" w:rsidRDefault="00B20B9C" w:rsidP="002636AB">
      <w:pPr>
        <w:autoSpaceDE w:val="0"/>
        <w:autoSpaceDN w:val="0"/>
        <w:adjustRightInd w:val="0"/>
        <w:rPr>
          <w:rFonts w:cs="Arial"/>
          <w:lang w:val="ca-ES"/>
        </w:rPr>
      </w:pPr>
    </w:p>
    <w:p w14:paraId="6E9C4EAF" w14:textId="77777777" w:rsidR="00FA3CE1" w:rsidRDefault="00FA3CE1" w:rsidP="00FA3CE1">
      <w:pPr>
        <w:rPr>
          <w:rFonts w:cs="Arial"/>
          <w:lang w:val="ca-ES"/>
        </w:rPr>
      </w:pPr>
      <w:bookmarkStart w:id="10" w:name="DOCUMENTO_5616967"/>
      <w:bookmarkStart w:id="11" w:name="DOCUMENTO_5732262"/>
      <w:bookmarkEnd w:id="9"/>
      <w:bookmarkEnd w:id="10"/>
      <w:bookmarkEnd w:id="11"/>
      <w:r>
        <w:rPr>
          <w:rFonts w:cs="Arial"/>
          <w:b/>
          <w:lang w:val="ca-ES"/>
        </w:rPr>
        <w:t>6.0.- PROPOSTA DE SANCIÓ D’EXPEDIENTS SANCIONADORS DE LA RELACIÓ 20000946 DE L'ORGT EXP. X2020000071</w:t>
      </w:r>
    </w:p>
    <w:p w14:paraId="7D837DA4" w14:textId="77777777" w:rsidR="00FA3CE1" w:rsidRPr="00117092" w:rsidRDefault="00FA3CE1" w:rsidP="0025654E">
      <w:pPr>
        <w:rPr>
          <w:lang w:val="ca-ES"/>
        </w:rPr>
      </w:pPr>
      <w:bookmarkStart w:id="12" w:name="X2020000071"/>
    </w:p>
    <w:p w14:paraId="1A0F7A3F" w14:textId="77777777" w:rsidR="00FA3CE1" w:rsidRPr="001F19C5" w:rsidRDefault="00FA3CE1" w:rsidP="007C6DE8">
      <w:pPr>
        <w:rPr>
          <w:lang w:val="ca-ES"/>
        </w:rPr>
      </w:pPr>
      <w:bookmarkStart w:id="13" w:name="_Hlk23145382"/>
    </w:p>
    <w:p w14:paraId="5ED16FC4" w14:textId="77777777" w:rsidR="00FA3CE1" w:rsidRDefault="00FA3CE1" w:rsidP="007C6DE8">
      <w:pPr>
        <w:outlineLvl w:val="0"/>
        <w:rPr>
          <w:lang w:val="ca-ES"/>
        </w:rPr>
      </w:pPr>
      <w:r w:rsidRPr="001F19C5">
        <w:rPr>
          <w:b/>
          <w:lang w:val="ca-ES"/>
        </w:rPr>
        <w:t>S’ACORDA</w:t>
      </w:r>
      <w:r w:rsidRPr="001F19C5">
        <w:rPr>
          <w:lang w:val="ca-ES"/>
        </w:rPr>
        <w:t>:</w:t>
      </w:r>
    </w:p>
    <w:p w14:paraId="23B9AAD7" w14:textId="77777777" w:rsidR="00FA3CE1" w:rsidRPr="001F19C5" w:rsidRDefault="00FA3CE1" w:rsidP="007C6DE8">
      <w:pPr>
        <w:outlineLvl w:val="0"/>
        <w:rPr>
          <w:lang w:val="ca-ES"/>
        </w:rPr>
      </w:pPr>
    </w:p>
    <w:p w14:paraId="24DBBE84" w14:textId="77777777" w:rsidR="00FA3CE1" w:rsidRPr="001F19C5" w:rsidRDefault="00FA3CE1" w:rsidP="007C6DE8">
      <w:pPr>
        <w:rPr>
          <w:lang w:val="ca-ES"/>
        </w:rPr>
      </w:pPr>
      <w:r w:rsidRPr="001F19C5">
        <w:rPr>
          <w:u w:val="single"/>
          <w:lang w:val="ca-ES"/>
        </w:rPr>
        <w:t>Primer.-</w:t>
      </w:r>
      <w:r w:rsidRPr="001F19C5">
        <w:rPr>
          <w:lang w:val="ca-ES"/>
        </w:rPr>
        <w:t xml:space="preserve"> Imposar a les persones que es relacionen a l’annex, segons remesa  número </w:t>
      </w:r>
      <w:r>
        <w:rPr>
          <w:lang w:val="ca-ES"/>
        </w:rPr>
        <w:t>20000946</w:t>
      </w:r>
      <w:r w:rsidRPr="001F19C5">
        <w:rPr>
          <w:lang w:val="ca-ES"/>
        </w:rPr>
        <w:t>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</w:t>
      </w:r>
      <w:r>
        <w:rPr>
          <w:lang w:val="ca-ES"/>
        </w:rPr>
        <w:t>’un</w:t>
      </w:r>
      <w:r w:rsidRPr="001F19C5">
        <w:rPr>
          <w:lang w:val="ca-ES"/>
        </w:rPr>
        <w:t xml:space="preserve"> expedient sancionador que ascendeix al total de 1</w:t>
      </w:r>
      <w:r>
        <w:rPr>
          <w:lang w:val="ca-ES"/>
        </w:rPr>
        <w:t>2</w:t>
      </w:r>
      <w:r w:rsidRPr="001F19C5">
        <w:rPr>
          <w:lang w:val="ca-ES"/>
        </w:rPr>
        <w:t>0,00 € (euros).</w:t>
      </w:r>
    </w:p>
    <w:p w14:paraId="1D28A193" w14:textId="77777777" w:rsidR="00FA3CE1" w:rsidRDefault="00FA3CE1" w:rsidP="007C6DE8">
      <w:pPr>
        <w:rPr>
          <w:u w:val="single"/>
          <w:lang w:val="ca-ES"/>
        </w:rPr>
      </w:pPr>
    </w:p>
    <w:p w14:paraId="3ACB5327" w14:textId="77777777" w:rsidR="00FA3CE1" w:rsidRPr="001F19C5" w:rsidRDefault="00FA3CE1" w:rsidP="007C6DE8">
      <w:pPr>
        <w:rPr>
          <w:lang w:val="ca-ES"/>
        </w:rPr>
      </w:pPr>
      <w:r w:rsidRPr="001F19C5">
        <w:rPr>
          <w:u w:val="single"/>
          <w:lang w:val="ca-ES"/>
        </w:rPr>
        <w:t>Segon..-</w:t>
      </w:r>
      <w:r w:rsidRPr="001F19C5">
        <w:rPr>
          <w:lang w:val="ca-ES"/>
        </w:rPr>
        <w:t xml:space="preserve">  Notificar  la present resolució a l’ORGT a efectes que es comuniqui als interessats la resolució adoptada, assabentant-los de la via de recurs adient i el termini i  forma de pagament de la multa en període voluntari.</w:t>
      </w:r>
    </w:p>
    <w:bookmarkEnd w:id="13"/>
    <w:p w14:paraId="2541D556" w14:textId="77777777" w:rsidR="00FA3CE1" w:rsidRDefault="00FA3CE1" w:rsidP="007C6DE8">
      <w:pPr>
        <w:rPr>
          <w:rFonts w:cs="Arial"/>
          <w:lang w:val="ca-ES"/>
        </w:rPr>
      </w:pPr>
    </w:p>
    <w:p w14:paraId="69A219BC" w14:textId="77777777" w:rsidR="00867C82" w:rsidRDefault="00867C82" w:rsidP="00867C82">
      <w:pPr>
        <w:rPr>
          <w:rFonts w:cs="Arial"/>
          <w:lang w:val="ca-ES"/>
        </w:rPr>
      </w:pPr>
      <w:bookmarkStart w:id="14" w:name="DOCUMENTO_5630814"/>
      <w:bookmarkStart w:id="15" w:name="DOCUMENTO_5732267"/>
      <w:bookmarkEnd w:id="12"/>
      <w:bookmarkEnd w:id="14"/>
      <w:bookmarkEnd w:id="15"/>
      <w:r>
        <w:rPr>
          <w:rFonts w:cs="Arial"/>
          <w:b/>
          <w:lang w:val="ca-ES"/>
        </w:rPr>
        <w:t>7.0.- PROPOSTA DE SANCIÓ DE LA RELACIÓ 20002031 D'EXPEDIENTS SANCIONADORS DE L'ORGT EXP. X2020000286</w:t>
      </w:r>
    </w:p>
    <w:p w14:paraId="0AC224CE" w14:textId="77777777" w:rsidR="00867C82" w:rsidRDefault="00867C82" w:rsidP="00867C82">
      <w:pPr>
        <w:rPr>
          <w:rFonts w:cs="Arial"/>
          <w:lang w:val="ca-ES"/>
        </w:rPr>
      </w:pPr>
    </w:p>
    <w:p w14:paraId="119061C6" w14:textId="77777777" w:rsidR="00867C82" w:rsidRPr="00277618" w:rsidRDefault="00867C82" w:rsidP="00F5391E">
      <w:pPr>
        <w:outlineLvl w:val="0"/>
      </w:pPr>
      <w:bookmarkStart w:id="16" w:name="X2020000286"/>
      <w:r w:rsidRPr="00277618">
        <w:rPr>
          <w:b/>
        </w:rPr>
        <w:t>S’ACORDA</w:t>
      </w:r>
      <w:r w:rsidRPr="00277618">
        <w:t>:</w:t>
      </w:r>
    </w:p>
    <w:p w14:paraId="6B039B94" w14:textId="77777777" w:rsidR="00867C82" w:rsidRDefault="00867C82" w:rsidP="00F5391E">
      <w:pPr>
        <w:rPr>
          <w:u w:val="single"/>
        </w:rPr>
      </w:pPr>
    </w:p>
    <w:p w14:paraId="047474E1" w14:textId="77777777" w:rsidR="00867C82" w:rsidRPr="00277618" w:rsidRDefault="00867C82" w:rsidP="00F5391E">
      <w:r w:rsidRPr="00277618">
        <w:rPr>
          <w:u w:val="single"/>
        </w:rPr>
        <w:t>Primer.-</w:t>
      </w:r>
      <w:r w:rsidRPr="00277618">
        <w:t xml:space="preserve"> Imposar a les persones que es relacionen a l’annex, segons remesa  número 20002031,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dos expedients sancionadors que ascendeix al total de 180,00 € (euros).</w:t>
      </w:r>
    </w:p>
    <w:p w14:paraId="02B495D0" w14:textId="77777777" w:rsidR="00867C82" w:rsidRDefault="00867C82" w:rsidP="00F5391E">
      <w:pPr>
        <w:rPr>
          <w:u w:val="single"/>
        </w:rPr>
      </w:pPr>
    </w:p>
    <w:p w14:paraId="64E3F745" w14:textId="77777777" w:rsidR="00867C82" w:rsidRPr="00277618" w:rsidRDefault="00867C82" w:rsidP="00F5391E">
      <w:r w:rsidRPr="00277618">
        <w:rPr>
          <w:u w:val="single"/>
        </w:rPr>
        <w:t>Segon..-</w:t>
      </w:r>
      <w:r w:rsidRPr="00277618">
        <w:t xml:space="preserve">  Notificar  la present resolució a l’ORGT a efectes que es comuniqui als interessats la resolució adoptada, assabentant-los de la via de recurs adient i el termini i  forma de pagament de la multa en període voluntari.</w:t>
      </w:r>
    </w:p>
    <w:p w14:paraId="18920071" w14:textId="77777777" w:rsidR="00867C82" w:rsidRDefault="00867C82" w:rsidP="00F5391E">
      <w:pPr>
        <w:outlineLvl w:val="0"/>
      </w:pPr>
    </w:p>
    <w:p w14:paraId="3427A886" w14:textId="77777777" w:rsidR="00867C82" w:rsidRPr="00277618" w:rsidRDefault="00867C82" w:rsidP="00F5391E">
      <w:pPr>
        <w:outlineLvl w:val="0"/>
      </w:pPr>
    </w:p>
    <w:p w14:paraId="7078DC5E" w14:textId="77777777" w:rsidR="0066437A" w:rsidRDefault="0066437A" w:rsidP="0066437A">
      <w:pPr>
        <w:rPr>
          <w:rFonts w:cs="Arial"/>
          <w:lang w:val="ca-ES"/>
        </w:rPr>
      </w:pPr>
      <w:bookmarkStart w:id="17" w:name="DOCUMENTO_5678707"/>
      <w:bookmarkStart w:id="18" w:name="DOCUMENTO_5732274"/>
      <w:bookmarkEnd w:id="16"/>
      <w:bookmarkEnd w:id="17"/>
      <w:bookmarkEnd w:id="18"/>
      <w:r>
        <w:rPr>
          <w:rFonts w:cs="Arial"/>
          <w:b/>
          <w:lang w:val="ca-ES"/>
        </w:rPr>
        <w:lastRenderedPageBreak/>
        <w:t>8.0.- RESOLUCIÓ DEFINITIVA D’EXPEDIENT SANCIONADOR PER INFRACCIÓ DE LES ORDENANCES REGULADORES DE POLICIA I BON GOVERN (X2019003663)</w:t>
      </w:r>
    </w:p>
    <w:p w14:paraId="67AAEB1F" w14:textId="77777777" w:rsidR="0066437A" w:rsidRDefault="0066437A" w:rsidP="0066437A">
      <w:pPr>
        <w:rPr>
          <w:rFonts w:cs="Arial"/>
          <w:lang w:val="ca-ES"/>
        </w:rPr>
      </w:pPr>
    </w:p>
    <w:p w14:paraId="050D043E" w14:textId="77777777" w:rsidR="0066437A" w:rsidRPr="002602EF" w:rsidRDefault="0066437A" w:rsidP="00D47DAB">
      <w:pPr>
        <w:rPr>
          <w:b/>
          <w:kern w:val="22"/>
          <w:lang w:val="ca-ES" w:eastAsia="es-ES"/>
        </w:rPr>
      </w:pPr>
      <w:bookmarkStart w:id="19" w:name="X2019003663"/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5F687D63" w14:textId="77777777" w:rsidR="0066437A" w:rsidRPr="002602EF" w:rsidRDefault="0066437A" w:rsidP="00D47DAB">
      <w:pPr>
        <w:rPr>
          <w:highlight w:val="yellow"/>
          <w:lang w:val="ca-ES" w:eastAsia="es-ES"/>
        </w:rPr>
      </w:pPr>
    </w:p>
    <w:p w14:paraId="469F2804" w14:textId="77777777" w:rsidR="0066437A" w:rsidRPr="00F10ABC" w:rsidRDefault="0066437A" w:rsidP="00D47DAB">
      <w:pPr>
        <w:rPr>
          <w:lang w:val="ca-ES" w:eastAsia="es-ES"/>
        </w:rPr>
      </w:pPr>
      <w:r w:rsidRPr="00F10ABC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62CEEE41" w14:textId="77777777" w:rsidR="0066437A" w:rsidRPr="00F10ABC" w:rsidRDefault="0066437A" w:rsidP="00D47DAB">
      <w:pPr>
        <w:rPr>
          <w:lang w:val="ca-ES" w:eastAsia="es-ES"/>
        </w:rPr>
      </w:pPr>
    </w:p>
    <w:p w14:paraId="3797146C" w14:textId="77777777" w:rsidR="0066437A" w:rsidRPr="00F10ABC" w:rsidRDefault="0066437A" w:rsidP="00D47DAB">
      <w:pPr>
        <w:rPr>
          <w:lang w:val="ca-ES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116"/>
        <w:gridCol w:w="1880"/>
        <w:gridCol w:w="3217"/>
        <w:gridCol w:w="1251"/>
      </w:tblGrid>
      <w:tr w:rsidR="0066437A" w:rsidRPr="00F10ABC" w14:paraId="784F6703" w14:textId="77777777" w:rsidTr="00D47DAB">
        <w:trPr>
          <w:jc w:val="center"/>
        </w:trPr>
        <w:tc>
          <w:tcPr>
            <w:tcW w:w="1281" w:type="dxa"/>
            <w:shd w:val="clear" w:color="auto" w:fill="D9D9D9"/>
          </w:tcPr>
          <w:p w14:paraId="39F740C9" w14:textId="77777777" w:rsidR="0066437A" w:rsidRPr="00F10ABC" w:rsidRDefault="0066437A" w:rsidP="00D47DAB">
            <w:pPr>
              <w:rPr>
                <w:lang w:val="ca-ES" w:eastAsia="es-ES"/>
              </w:rPr>
            </w:pPr>
            <w:r w:rsidRPr="00F10ABC">
              <w:rPr>
                <w:lang w:val="ca-ES" w:eastAsia="es-ES"/>
              </w:rPr>
              <w:t xml:space="preserve"> Referència  expedient</w:t>
            </w:r>
          </w:p>
        </w:tc>
        <w:tc>
          <w:tcPr>
            <w:tcW w:w="1123" w:type="dxa"/>
            <w:shd w:val="clear" w:color="auto" w:fill="D9D9D9"/>
          </w:tcPr>
          <w:p w14:paraId="5D7D38C8" w14:textId="77777777" w:rsidR="0066437A" w:rsidRPr="00F10ABC" w:rsidRDefault="0066437A" w:rsidP="00D47DAB">
            <w:pPr>
              <w:rPr>
                <w:lang w:val="ca-ES" w:eastAsia="es-ES"/>
              </w:rPr>
            </w:pPr>
            <w:r w:rsidRPr="00F10ABC">
              <w:rPr>
                <w:lang w:val="ca-ES" w:eastAsia="es-ES"/>
              </w:rPr>
              <w:t>Infractor</w:t>
            </w:r>
          </w:p>
        </w:tc>
        <w:tc>
          <w:tcPr>
            <w:tcW w:w="1923" w:type="dxa"/>
            <w:shd w:val="clear" w:color="auto" w:fill="D9D9D9"/>
          </w:tcPr>
          <w:p w14:paraId="27F841BA" w14:textId="77777777" w:rsidR="0066437A" w:rsidRPr="00F10ABC" w:rsidRDefault="0066437A" w:rsidP="00D47DAB">
            <w:pPr>
              <w:rPr>
                <w:lang w:val="ca-ES" w:eastAsia="es-ES"/>
              </w:rPr>
            </w:pPr>
            <w:r w:rsidRPr="00F10ABC">
              <w:rPr>
                <w:lang w:val="ca-ES" w:eastAsia="es-ES"/>
              </w:rPr>
              <w:t>Denuncia, data i lloc</w:t>
            </w:r>
          </w:p>
        </w:tc>
        <w:tc>
          <w:tcPr>
            <w:tcW w:w="3325" w:type="dxa"/>
            <w:shd w:val="clear" w:color="auto" w:fill="D9D9D9"/>
          </w:tcPr>
          <w:p w14:paraId="79FE33B7" w14:textId="77777777" w:rsidR="0066437A" w:rsidRPr="00F10ABC" w:rsidRDefault="0066437A" w:rsidP="00D47DAB">
            <w:pPr>
              <w:rPr>
                <w:lang w:val="ca-ES" w:eastAsia="es-ES"/>
              </w:rPr>
            </w:pPr>
            <w:r w:rsidRPr="00F10ABC">
              <w:rPr>
                <w:lang w:val="ca-ES" w:eastAsia="es-ES"/>
              </w:rPr>
              <w:t>Fet i article infringit</w:t>
            </w:r>
          </w:p>
        </w:tc>
        <w:tc>
          <w:tcPr>
            <w:tcW w:w="1274" w:type="dxa"/>
            <w:shd w:val="clear" w:color="auto" w:fill="D9D9D9"/>
          </w:tcPr>
          <w:p w14:paraId="2812E7B2" w14:textId="77777777" w:rsidR="0066437A" w:rsidRPr="00F10ABC" w:rsidRDefault="0066437A" w:rsidP="00D47DAB">
            <w:pPr>
              <w:rPr>
                <w:lang w:val="ca-ES" w:eastAsia="es-ES"/>
              </w:rPr>
            </w:pPr>
            <w:r w:rsidRPr="00F10ABC">
              <w:rPr>
                <w:lang w:val="ca-ES" w:eastAsia="es-ES"/>
              </w:rPr>
              <w:t>Sanció €</w:t>
            </w:r>
          </w:p>
        </w:tc>
      </w:tr>
      <w:tr w:rsidR="0066437A" w:rsidRPr="00F10ABC" w14:paraId="57FDB31C" w14:textId="77777777" w:rsidTr="00D47DAB">
        <w:trPr>
          <w:trHeight w:val="1986"/>
          <w:jc w:val="center"/>
        </w:trPr>
        <w:tc>
          <w:tcPr>
            <w:tcW w:w="1281" w:type="dxa"/>
          </w:tcPr>
          <w:p w14:paraId="192FC5A5" w14:textId="77777777" w:rsidR="0066437A" w:rsidRPr="00F10ABC" w:rsidRDefault="0066437A" w:rsidP="00D47DAB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F10ABC">
              <w:rPr>
                <w:sz w:val="20"/>
                <w:szCs w:val="20"/>
                <w:lang w:val="ca-ES" w:eastAsia="es-ES"/>
              </w:rPr>
              <w:t>X2019003663</w:t>
            </w:r>
          </w:p>
          <w:p w14:paraId="58BDFF9D" w14:textId="77777777" w:rsidR="0066437A" w:rsidRPr="00F10ABC" w:rsidRDefault="0066437A" w:rsidP="00D47DAB">
            <w:pPr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123" w:type="dxa"/>
          </w:tcPr>
          <w:p w14:paraId="0C041E7A" w14:textId="6FEFB9D7" w:rsidR="0066437A" w:rsidRPr="00F10ABC" w:rsidRDefault="0066437A" w:rsidP="00D47DAB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F10ABC">
              <w:rPr>
                <w:rFonts w:cs="Arial"/>
                <w:sz w:val="20"/>
                <w:szCs w:val="20"/>
                <w:lang w:val="ca-ES" w:eastAsia="es-ES"/>
              </w:rPr>
              <w:t>EM</w:t>
            </w:r>
            <w:r w:rsidR="0068693A">
              <w:rPr>
                <w:rFonts w:cs="Arial"/>
                <w:sz w:val="20"/>
                <w:szCs w:val="20"/>
                <w:lang w:val="ca-ES" w:eastAsia="es-ES"/>
              </w:rPr>
              <w:t>.</w:t>
            </w:r>
            <w:r w:rsidRPr="00F10ABC">
              <w:rPr>
                <w:rFonts w:cs="Arial"/>
                <w:sz w:val="20"/>
                <w:szCs w:val="20"/>
                <w:lang w:val="ca-ES" w:eastAsia="es-ES"/>
              </w:rPr>
              <w:t>B</w:t>
            </w:r>
            <w:r w:rsidR="0068693A">
              <w:rPr>
                <w:rFonts w:cs="Arial"/>
                <w:sz w:val="20"/>
                <w:szCs w:val="20"/>
                <w:lang w:val="ca-ES" w:eastAsia="es-ES"/>
              </w:rPr>
              <w:t>.</w:t>
            </w:r>
            <w:r w:rsidRPr="00F10ABC">
              <w:rPr>
                <w:rFonts w:cs="Arial"/>
                <w:sz w:val="20"/>
                <w:szCs w:val="20"/>
                <w:lang w:val="ca-ES" w:eastAsia="es-ES"/>
              </w:rPr>
              <w:t>A</w:t>
            </w:r>
            <w:r w:rsidR="0068693A">
              <w:rPr>
                <w:rFonts w:cs="Arial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1923" w:type="dxa"/>
          </w:tcPr>
          <w:p w14:paraId="1511EC24" w14:textId="77777777" w:rsidR="0066437A" w:rsidRPr="00F10ABC" w:rsidRDefault="0066437A" w:rsidP="00D47DAB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F10ABC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Denúncia 1410 de data 14.07.2019 a  pl. Mossèn Pere Ribot , s/n</w:t>
            </w:r>
          </w:p>
        </w:tc>
        <w:tc>
          <w:tcPr>
            <w:tcW w:w="3325" w:type="dxa"/>
          </w:tcPr>
          <w:p w14:paraId="6B9CCEEF" w14:textId="77777777" w:rsidR="0066437A" w:rsidRPr="00F10ABC" w:rsidRDefault="0066437A" w:rsidP="00D47DAB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F10ABC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Llençar papers o embrutar recintes d’ús públic, embrutar el parc. (Deteriorament d’espais i bens públics) Art. 18 Infracció lleu</w:t>
            </w:r>
          </w:p>
        </w:tc>
        <w:tc>
          <w:tcPr>
            <w:tcW w:w="1274" w:type="dxa"/>
          </w:tcPr>
          <w:p w14:paraId="79BB86F4" w14:textId="77777777" w:rsidR="0066437A" w:rsidRPr="00F10ABC" w:rsidRDefault="0066437A" w:rsidP="00D47DAB">
            <w:pPr>
              <w:rPr>
                <w:sz w:val="20"/>
                <w:szCs w:val="20"/>
                <w:lang w:val="ca-ES" w:eastAsia="es-ES"/>
              </w:rPr>
            </w:pPr>
          </w:p>
          <w:p w14:paraId="2A3540A5" w14:textId="77777777" w:rsidR="0066437A" w:rsidRPr="00F10ABC" w:rsidRDefault="0066437A" w:rsidP="00D47DAB">
            <w:pPr>
              <w:rPr>
                <w:sz w:val="20"/>
                <w:szCs w:val="20"/>
                <w:lang w:val="ca-ES" w:eastAsia="es-ES"/>
              </w:rPr>
            </w:pPr>
            <w:r w:rsidRPr="00F10ABC">
              <w:rPr>
                <w:sz w:val="20"/>
                <w:szCs w:val="20"/>
                <w:lang w:val="ca-ES" w:eastAsia="es-ES"/>
              </w:rPr>
              <w:t>110,00 €</w:t>
            </w:r>
          </w:p>
        </w:tc>
      </w:tr>
    </w:tbl>
    <w:p w14:paraId="3ACD29B7" w14:textId="77777777" w:rsidR="0066437A" w:rsidRPr="00F10ABC" w:rsidRDefault="0066437A" w:rsidP="00D47DAB">
      <w:pPr>
        <w:rPr>
          <w:lang w:val="ca-ES" w:eastAsia="es-ES"/>
        </w:rPr>
      </w:pPr>
    </w:p>
    <w:p w14:paraId="6BC62493" w14:textId="77777777" w:rsidR="0066437A" w:rsidRDefault="0066437A" w:rsidP="00D47DAB">
      <w:pPr>
        <w:rPr>
          <w:rFonts w:cs="Arial"/>
          <w:lang w:val="ca-ES"/>
        </w:rPr>
      </w:pPr>
      <w:r w:rsidRPr="00F10ABC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2B76061A" w14:textId="77777777" w:rsidR="0066437A" w:rsidRDefault="0066437A" w:rsidP="0025654E">
      <w:pPr>
        <w:rPr>
          <w:lang w:val="ca-ES"/>
        </w:rPr>
      </w:pPr>
      <w:bookmarkStart w:id="20" w:name="DOCUMENTO_5661363"/>
      <w:bookmarkEnd w:id="20"/>
    </w:p>
    <w:p w14:paraId="69D4E018" w14:textId="77777777" w:rsidR="0066437A" w:rsidRDefault="0066437A" w:rsidP="0066437A">
      <w:pPr>
        <w:rPr>
          <w:rFonts w:cs="Arial"/>
          <w:lang w:val="ca-ES"/>
        </w:rPr>
      </w:pPr>
      <w:bookmarkStart w:id="21" w:name="DOCUMENTO_5732279"/>
      <w:bookmarkEnd w:id="19"/>
      <w:bookmarkEnd w:id="21"/>
    </w:p>
    <w:p w14:paraId="26A5F1F4" w14:textId="77777777" w:rsidR="00B613E0" w:rsidRDefault="00B613E0" w:rsidP="00B613E0">
      <w:pPr>
        <w:rPr>
          <w:rFonts w:cs="Arial"/>
          <w:lang w:val="ca-ES"/>
        </w:rPr>
      </w:pPr>
      <w:r>
        <w:rPr>
          <w:rFonts w:cs="Arial"/>
          <w:b/>
          <w:lang w:val="ca-ES"/>
        </w:rPr>
        <w:t>9.0.- RESOLUCIÓ DEFINITIVA D’EXPEDIENT SANCIONADOR PER INFRACCIÓ DE LES ORDENANCES REGULADORES DE POLICIA I BON GOVERN (X2019003669)</w:t>
      </w:r>
    </w:p>
    <w:p w14:paraId="473FF36F" w14:textId="77777777" w:rsidR="00B613E0" w:rsidRDefault="00B613E0" w:rsidP="00B613E0">
      <w:pPr>
        <w:rPr>
          <w:rFonts w:cs="Arial"/>
          <w:lang w:val="ca-ES"/>
        </w:rPr>
      </w:pPr>
    </w:p>
    <w:p w14:paraId="0FC4B592" w14:textId="77777777" w:rsidR="00B613E0" w:rsidRPr="002602EF" w:rsidRDefault="00B613E0" w:rsidP="004E28A8">
      <w:pPr>
        <w:rPr>
          <w:b/>
          <w:kern w:val="22"/>
          <w:lang w:val="ca-ES" w:eastAsia="es-ES"/>
        </w:rPr>
      </w:pPr>
      <w:bookmarkStart w:id="22" w:name="X2019003669"/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08766913" w14:textId="77777777" w:rsidR="00B613E0" w:rsidRPr="002602EF" w:rsidRDefault="00B613E0" w:rsidP="004E28A8">
      <w:pPr>
        <w:rPr>
          <w:highlight w:val="yellow"/>
          <w:lang w:val="ca-ES" w:eastAsia="es-ES"/>
        </w:rPr>
      </w:pPr>
    </w:p>
    <w:p w14:paraId="41A9B8DF" w14:textId="77777777" w:rsidR="00B613E0" w:rsidRPr="00EE1198" w:rsidRDefault="00B613E0" w:rsidP="004E28A8">
      <w:pPr>
        <w:rPr>
          <w:lang w:val="ca-ES" w:eastAsia="es-ES"/>
        </w:rPr>
      </w:pPr>
      <w:r w:rsidRPr="00EE1198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27261AFB" w14:textId="77777777" w:rsidR="00B613E0" w:rsidRPr="00EE1198" w:rsidRDefault="00B613E0" w:rsidP="004E28A8">
      <w:pPr>
        <w:rPr>
          <w:lang w:val="ca-ES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116"/>
        <w:gridCol w:w="1880"/>
        <w:gridCol w:w="3217"/>
        <w:gridCol w:w="1251"/>
      </w:tblGrid>
      <w:tr w:rsidR="0068693A" w:rsidRPr="00EE1198" w14:paraId="263835AD" w14:textId="77777777" w:rsidTr="00CA0EFE">
        <w:trPr>
          <w:jc w:val="center"/>
        </w:trPr>
        <w:tc>
          <w:tcPr>
            <w:tcW w:w="1462" w:type="dxa"/>
            <w:shd w:val="clear" w:color="auto" w:fill="D9D9D9"/>
          </w:tcPr>
          <w:p w14:paraId="7BE5CC19" w14:textId="77777777" w:rsidR="00B613E0" w:rsidRPr="00EE1198" w:rsidRDefault="00B613E0" w:rsidP="004E28A8">
            <w:pPr>
              <w:rPr>
                <w:lang w:val="ca-ES" w:eastAsia="es-ES"/>
              </w:rPr>
            </w:pPr>
            <w:r w:rsidRPr="00EE1198">
              <w:rPr>
                <w:lang w:val="ca-ES" w:eastAsia="es-ES"/>
              </w:rPr>
              <w:t xml:space="preserve"> Referència  expedient</w:t>
            </w:r>
          </w:p>
        </w:tc>
        <w:tc>
          <w:tcPr>
            <w:tcW w:w="1116" w:type="dxa"/>
            <w:shd w:val="clear" w:color="auto" w:fill="D9D9D9"/>
          </w:tcPr>
          <w:p w14:paraId="39D3CEC6" w14:textId="77777777" w:rsidR="00B613E0" w:rsidRPr="00EE1198" w:rsidRDefault="00B613E0" w:rsidP="004E28A8">
            <w:pPr>
              <w:rPr>
                <w:lang w:val="ca-ES" w:eastAsia="es-ES"/>
              </w:rPr>
            </w:pPr>
            <w:r w:rsidRPr="00EE1198">
              <w:rPr>
                <w:lang w:val="ca-ES" w:eastAsia="es-ES"/>
              </w:rPr>
              <w:t>Infractor</w:t>
            </w:r>
          </w:p>
        </w:tc>
        <w:tc>
          <w:tcPr>
            <w:tcW w:w="1880" w:type="dxa"/>
            <w:shd w:val="clear" w:color="auto" w:fill="D9D9D9"/>
          </w:tcPr>
          <w:p w14:paraId="0DB046CB" w14:textId="77777777" w:rsidR="00B613E0" w:rsidRPr="00EE1198" w:rsidRDefault="00B613E0" w:rsidP="004E28A8">
            <w:pPr>
              <w:rPr>
                <w:lang w:val="ca-ES" w:eastAsia="es-ES"/>
              </w:rPr>
            </w:pPr>
            <w:r w:rsidRPr="00EE1198">
              <w:rPr>
                <w:lang w:val="ca-ES" w:eastAsia="es-ES"/>
              </w:rPr>
              <w:t>Denuncia, data i lloc</w:t>
            </w:r>
          </w:p>
        </w:tc>
        <w:tc>
          <w:tcPr>
            <w:tcW w:w="3217" w:type="dxa"/>
            <w:shd w:val="clear" w:color="auto" w:fill="D9D9D9"/>
          </w:tcPr>
          <w:p w14:paraId="3E988A73" w14:textId="77777777" w:rsidR="00B613E0" w:rsidRPr="00EE1198" w:rsidRDefault="00B613E0" w:rsidP="004E28A8">
            <w:pPr>
              <w:rPr>
                <w:lang w:val="ca-ES" w:eastAsia="es-ES"/>
              </w:rPr>
            </w:pPr>
            <w:r w:rsidRPr="00EE1198">
              <w:rPr>
                <w:lang w:val="ca-ES" w:eastAsia="es-ES"/>
              </w:rPr>
              <w:t>Fet i article infringit</w:t>
            </w:r>
          </w:p>
        </w:tc>
        <w:tc>
          <w:tcPr>
            <w:tcW w:w="1251" w:type="dxa"/>
            <w:shd w:val="clear" w:color="auto" w:fill="D9D9D9"/>
          </w:tcPr>
          <w:p w14:paraId="7D043A29" w14:textId="77777777" w:rsidR="00B613E0" w:rsidRPr="00EE1198" w:rsidRDefault="00B613E0" w:rsidP="004E28A8">
            <w:pPr>
              <w:rPr>
                <w:lang w:val="ca-ES" w:eastAsia="es-ES"/>
              </w:rPr>
            </w:pPr>
            <w:r w:rsidRPr="00EE1198">
              <w:rPr>
                <w:lang w:val="ca-ES" w:eastAsia="es-ES"/>
              </w:rPr>
              <w:t>Sanció €</w:t>
            </w:r>
          </w:p>
        </w:tc>
      </w:tr>
      <w:tr w:rsidR="00B613E0" w:rsidRPr="00EE1198" w14:paraId="45B434CE" w14:textId="77777777" w:rsidTr="00CA0EFE">
        <w:trPr>
          <w:trHeight w:val="1986"/>
          <w:jc w:val="center"/>
        </w:trPr>
        <w:tc>
          <w:tcPr>
            <w:tcW w:w="1462" w:type="dxa"/>
          </w:tcPr>
          <w:p w14:paraId="556FEE36" w14:textId="77777777" w:rsidR="00B613E0" w:rsidRPr="00EE1198" w:rsidRDefault="00B613E0" w:rsidP="004E28A8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EE1198">
              <w:rPr>
                <w:sz w:val="20"/>
                <w:szCs w:val="20"/>
                <w:lang w:val="ca-ES" w:eastAsia="es-ES"/>
              </w:rPr>
              <w:t>X2019003669</w:t>
            </w:r>
          </w:p>
          <w:p w14:paraId="42126895" w14:textId="77777777" w:rsidR="00B613E0" w:rsidRPr="00EE1198" w:rsidRDefault="00B613E0" w:rsidP="004E28A8">
            <w:pPr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116" w:type="dxa"/>
          </w:tcPr>
          <w:p w14:paraId="5742E33C" w14:textId="0A0AB40D" w:rsidR="00B613E0" w:rsidRPr="00EE1198" w:rsidRDefault="0068693A" w:rsidP="004E28A8">
            <w:pPr>
              <w:rPr>
                <w:rFonts w:cs="Arial"/>
                <w:sz w:val="20"/>
                <w:szCs w:val="20"/>
                <w:lang w:val="ca-ES" w:eastAsia="es-ES"/>
              </w:rPr>
            </w:pPr>
            <w:r>
              <w:rPr>
                <w:rFonts w:cs="Arial"/>
                <w:sz w:val="20"/>
                <w:szCs w:val="20"/>
                <w:lang w:val="ca-ES" w:eastAsia="es-ES"/>
              </w:rPr>
              <w:t>JL.I.G.</w:t>
            </w:r>
          </w:p>
        </w:tc>
        <w:tc>
          <w:tcPr>
            <w:tcW w:w="1880" w:type="dxa"/>
          </w:tcPr>
          <w:p w14:paraId="3C145D19" w14:textId="77777777" w:rsidR="00B613E0" w:rsidRPr="00EE1198" w:rsidRDefault="00B613E0" w:rsidP="004E28A8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EE1198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Denúncia 1111 de data 31.07.2019 a  pl. del Pebre/Dr. Masriera Ferres, s/n.</w:t>
            </w:r>
          </w:p>
        </w:tc>
        <w:tc>
          <w:tcPr>
            <w:tcW w:w="3217" w:type="dxa"/>
          </w:tcPr>
          <w:p w14:paraId="74445BED" w14:textId="77777777" w:rsidR="00B613E0" w:rsidRPr="00EE1198" w:rsidRDefault="00B613E0" w:rsidP="004E28A8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EE1198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Realitzar un mal ús de la via pública, saltar amb monopatí per la via pública i el mobiliari urbà (Deteriorament d’espais i bens públics) Art. 16  Infracció lleu</w:t>
            </w:r>
          </w:p>
        </w:tc>
        <w:tc>
          <w:tcPr>
            <w:tcW w:w="1251" w:type="dxa"/>
          </w:tcPr>
          <w:p w14:paraId="7D8776C0" w14:textId="77777777" w:rsidR="00B613E0" w:rsidRPr="00EE1198" w:rsidRDefault="00B613E0" w:rsidP="004E28A8">
            <w:pPr>
              <w:rPr>
                <w:sz w:val="20"/>
                <w:szCs w:val="20"/>
                <w:lang w:val="ca-ES" w:eastAsia="es-ES"/>
              </w:rPr>
            </w:pPr>
          </w:p>
          <w:p w14:paraId="50E39411" w14:textId="77777777" w:rsidR="00B613E0" w:rsidRPr="00EE1198" w:rsidRDefault="00B613E0" w:rsidP="004E28A8">
            <w:pPr>
              <w:rPr>
                <w:sz w:val="20"/>
                <w:szCs w:val="20"/>
                <w:lang w:val="ca-ES" w:eastAsia="es-ES"/>
              </w:rPr>
            </w:pPr>
            <w:r w:rsidRPr="00EE1198">
              <w:rPr>
                <w:sz w:val="20"/>
                <w:szCs w:val="20"/>
                <w:lang w:val="ca-ES" w:eastAsia="es-ES"/>
              </w:rPr>
              <w:t>110,00 €</w:t>
            </w:r>
          </w:p>
        </w:tc>
      </w:tr>
    </w:tbl>
    <w:p w14:paraId="2D5A9A81" w14:textId="77777777" w:rsidR="00B613E0" w:rsidRPr="00EE1198" w:rsidRDefault="00B613E0" w:rsidP="004E28A8">
      <w:pPr>
        <w:rPr>
          <w:lang w:val="ca-ES" w:eastAsia="es-ES"/>
        </w:rPr>
      </w:pPr>
    </w:p>
    <w:p w14:paraId="07E60E46" w14:textId="77777777" w:rsidR="00B613E0" w:rsidRDefault="00B613E0" w:rsidP="004E28A8">
      <w:pPr>
        <w:rPr>
          <w:rFonts w:cs="Arial"/>
          <w:lang w:val="ca-ES"/>
        </w:rPr>
      </w:pPr>
      <w:r w:rsidRPr="00EE1198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1FBE4AE1" w14:textId="77777777" w:rsidR="00B613E0" w:rsidRPr="00B613E0" w:rsidRDefault="00B613E0" w:rsidP="00B613E0">
      <w:pPr>
        <w:rPr>
          <w:rFonts w:cs="Arial"/>
          <w:lang w:val="ca-ES"/>
        </w:rPr>
      </w:pPr>
      <w:bookmarkStart w:id="23" w:name="DOCUMENTO_5663863"/>
      <w:bookmarkStart w:id="24" w:name="DOCUMENTO_5732287"/>
      <w:bookmarkEnd w:id="22"/>
      <w:bookmarkEnd w:id="23"/>
      <w:bookmarkEnd w:id="24"/>
    </w:p>
    <w:p w14:paraId="624B5D19" w14:textId="77777777" w:rsidR="00415993" w:rsidRDefault="00415993" w:rsidP="00415993">
      <w:pPr>
        <w:rPr>
          <w:rFonts w:cs="Arial"/>
          <w:lang w:val="ca-ES"/>
        </w:rPr>
      </w:pPr>
      <w:r>
        <w:rPr>
          <w:rFonts w:cs="Arial"/>
          <w:b/>
          <w:lang w:val="ca-ES"/>
        </w:rPr>
        <w:t>10.0.- RESOLUCIÓ DEFINITIVA D’EXPEDIENT SANCIONADOR PER INFRACCIÓ DE LES ORDENANCES REGULADORES DE POLICIA I BON GOVERN (X2019003911)</w:t>
      </w:r>
    </w:p>
    <w:p w14:paraId="003F6D3D" w14:textId="77777777" w:rsidR="00415993" w:rsidRDefault="00415993" w:rsidP="00415993">
      <w:pPr>
        <w:rPr>
          <w:rFonts w:cs="Arial"/>
          <w:lang w:val="ca-ES"/>
        </w:rPr>
      </w:pPr>
    </w:p>
    <w:p w14:paraId="6330A7AB" w14:textId="77777777" w:rsidR="00415993" w:rsidRPr="002602EF" w:rsidRDefault="00415993" w:rsidP="00462F67">
      <w:pPr>
        <w:rPr>
          <w:b/>
          <w:kern w:val="22"/>
          <w:lang w:val="ca-ES" w:eastAsia="es-ES"/>
        </w:rPr>
      </w:pPr>
      <w:bookmarkStart w:id="25" w:name="X2019003911"/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5C9D3E96" w14:textId="77777777" w:rsidR="00415993" w:rsidRPr="002602EF" w:rsidRDefault="00415993" w:rsidP="00462F67">
      <w:pPr>
        <w:rPr>
          <w:highlight w:val="yellow"/>
          <w:lang w:val="ca-ES" w:eastAsia="es-ES"/>
        </w:rPr>
      </w:pPr>
    </w:p>
    <w:p w14:paraId="1776D6D0" w14:textId="77777777" w:rsidR="00415993" w:rsidRDefault="00415993" w:rsidP="00462F67">
      <w:pPr>
        <w:rPr>
          <w:lang w:val="ca-ES" w:eastAsia="es-ES"/>
        </w:rPr>
      </w:pPr>
      <w:r w:rsidRPr="00F9410E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451BA6A1" w14:textId="77777777" w:rsidR="00415993" w:rsidRDefault="00415993" w:rsidP="00462F67">
      <w:pPr>
        <w:rPr>
          <w:lang w:val="ca-ES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117"/>
        <w:gridCol w:w="1881"/>
        <w:gridCol w:w="3215"/>
        <w:gridCol w:w="1251"/>
      </w:tblGrid>
      <w:tr w:rsidR="00415993" w:rsidRPr="00984B11" w14:paraId="73AF91FD" w14:textId="77777777" w:rsidTr="00CA0EFE">
        <w:trPr>
          <w:jc w:val="center"/>
        </w:trPr>
        <w:tc>
          <w:tcPr>
            <w:tcW w:w="1462" w:type="dxa"/>
            <w:shd w:val="clear" w:color="auto" w:fill="D9D9D9"/>
          </w:tcPr>
          <w:p w14:paraId="50D449C0" w14:textId="77777777" w:rsidR="00415993" w:rsidRPr="00984B11" w:rsidRDefault="00415993" w:rsidP="00462F67">
            <w:pPr>
              <w:rPr>
                <w:lang w:val="ca-ES" w:eastAsia="es-ES"/>
              </w:rPr>
            </w:pPr>
            <w:r w:rsidRPr="00984B11">
              <w:rPr>
                <w:lang w:val="ca-ES" w:eastAsia="es-ES"/>
              </w:rPr>
              <w:t>Referència  expedient</w:t>
            </w:r>
          </w:p>
        </w:tc>
        <w:tc>
          <w:tcPr>
            <w:tcW w:w="1117" w:type="dxa"/>
            <w:shd w:val="clear" w:color="auto" w:fill="D9D9D9"/>
          </w:tcPr>
          <w:p w14:paraId="7B1E2DBA" w14:textId="77777777" w:rsidR="00415993" w:rsidRPr="00984B11" w:rsidRDefault="00415993" w:rsidP="00462F67">
            <w:pPr>
              <w:rPr>
                <w:lang w:val="ca-ES" w:eastAsia="es-ES"/>
              </w:rPr>
            </w:pPr>
            <w:r w:rsidRPr="00984B11">
              <w:rPr>
                <w:lang w:val="ca-ES" w:eastAsia="es-ES"/>
              </w:rPr>
              <w:t>Infractor</w:t>
            </w:r>
          </w:p>
        </w:tc>
        <w:tc>
          <w:tcPr>
            <w:tcW w:w="1881" w:type="dxa"/>
            <w:shd w:val="clear" w:color="auto" w:fill="D9D9D9"/>
          </w:tcPr>
          <w:p w14:paraId="4FCD36C0" w14:textId="77777777" w:rsidR="00415993" w:rsidRPr="00984B11" w:rsidRDefault="00415993" w:rsidP="00462F67">
            <w:pPr>
              <w:rPr>
                <w:lang w:val="ca-ES" w:eastAsia="es-ES"/>
              </w:rPr>
            </w:pPr>
            <w:r w:rsidRPr="00984B11">
              <w:rPr>
                <w:lang w:val="ca-ES" w:eastAsia="es-ES"/>
              </w:rPr>
              <w:t>Denuncia, data i lloc</w:t>
            </w:r>
          </w:p>
        </w:tc>
        <w:tc>
          <w:tcPr>
            <w:tcW w:w="3215" w:type="dxa"/>
            <w:shd w:val="clear" w:color="auto" w:fill="D9D9D9"/>
          </w:tcPr>
          <w:p w14:paraId="0EBA3919" w14:textId="77777777" w:rsidR="00415993" w:rsidRPr="00984B11" w:rsidRDefault="00415993" w:rsidP="00462F67">
            <w:pPr>
              <w:rPr>
                <w:lang w:val="ca-ES" w:eastAsia="es-ES"/>
              </w:rPr>
            </w:pPr>
            <w:r w:rsidRPr="00984B11">
              <w:rPr>
                <w:lang w:val="ca-ES" w:eastAsia="es-ES"/>
              </w:rPr>
              <w:t>Fet i article infringit</w:t>
            </w:r>
          </w:p>
        </w:tc>
        <w:tc>
          <w:tcPr>
            <w:tcW w:w="1251" w:type="dxa"/>
            <w:shd w:val="clear" w:color="auto" w:fill="D9D9D9"/>
          </w:tcPr>
          <w:p w14:paraId="192D234A" w14:textId="77777777" w:rsidR="00415993" w:rsidRPr="00984B11" w:rsidRDefault="00415993" w:rsidP="00462F67">
            <w:pPr>
              <w:rPr>
                <w:lang w:val="ca-ES" w:eastAsia="es-ES"/>
              </w:rPr>
            </w:pPr>
            <w:r w:rsidRPr="00984B11">
              <w:rPr>
                <w:lang w:val="ca-ES" w:eastAsia="es-ES"/>
              </w:rPr>
              <w:t>Sanció €</w:t>
            </w:r>
          </w:p>
        </w:tc>
      </w:tr>
      <w:tr w:rsidR="00415993" w:rsidRPr="00984B11" w14:paraId="6A314FAC" w14:textId="77777777" w:rsidTr="00CA0EFE">
        <w:trPr>
          <w:trHeight w:val="1986"/>
          <w:jc w:val="center"/>
        </w:trPr>
        <w:tc>
          <w:tcPr>
            <w:tcW w:w="1462" w:type="dxa"/>
          </w:tcPr>
          <w:p w14:paraId="31809B62" w14:textId="77777777" w:rsidR="00415993" w:rsidRPr="00984B11" w:rsidRDefault="00415993" w:rsidP="00462F67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984B11">
              <w:rPr>
                <w:sz w:val="20"/>
                <w:szCs w:val="20"/>
                <w:lang w:val="ca-ES" w:eastAsia="es-ES"/>
              </w:rPr>
              <w:t>X2019003911</w:t>
            </w:r>
          </w:p>
          <w:p w14:paraId="2DD5DDD6" w14:textId="77777777" w:rsidR="00415993" w:rsidRPr="00984B11" w:rsidRDefault="00415993" w:rsidP="00462F67">
            <w:pPr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117" w:type="dxa"/>
          </w:tcPr>
          <w:p w14:paraId="00AC2F6A" w14:textId="11B44FF8" w:rsidR="00415993" w:rsidRPr="00984B11" w:rsidRDefault="00415993" w:rsidP="00462F67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984B11">
              <w:rPr>
                <w:rFonts w:cs="Arial"/>
                <w:sz w:val="20"/>
                <w:szCs w:val="20"/>
                <w:lang w:val="ca-ES" w:eastAsia="es-ES"/>
              </w:rPr>
              <w:t>E</w:t>
            </w:r>
            <w:r w:rsidR="00BE7E3A">
              <w:rPr>
                <w:rFonts w:cs="Arial"/>
                <w:sz w:val="20"/>
                <w:szCs w:val="20"/>
                <w:lang w:val="ca-ES" w:eastAsia="es-ES"/>
              </w:rPr>
              <w:t>.M.F.</w:t>
            </w:r>
          </w:p>
        </w:tc>
        <w:tc>
          <w:tcPr>
            <w:tcW w:w="1881" w:type="dxa"/>
          </w:tcPr>
          <w:p w14:paraId="68A3B2B9" w14:textId="77777777" w:rsidR="00415993" w:rsidRPr="00984B11" w:rsidRDefault="00415993" w:rsidP="00462F67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984B11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Denúncia 1234 de data 15.08.2019 a  pl. Mossèn Teixidor</w:t>
            </w:r>
          </w:p>
        </w:tc>
        <w:tc>
          <w:tcPr>
            <w:tcW w:w="3215" w:type="dxa"/>
          </w:tcPr>
          <w:p w14:paraId="6B0C4C68" w14:textId="77777777" w:rsidR="00415993" w:rsidRPr="00984B11" w:rsidRDefault="00415993" w:rsidP="00462F67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984B11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Consumir begudes alcohòliques a la via pública. (Consumir begudes alcohòliques a la via pública en espais expressament prohibits) Art. 13.Bis 2  Infracció molt greu</w:t>
            </w:r>
          </w:p>
        </w:tc>
        <w:tc>
          <w:tcPr>
            <w:tcW w:w="1251" w:type="dxa"/>
          </w:tcPr>
          <w:p w14:paraId="51DC17FC" w14:textId="77777777" w:rsidR="00415993" w:rsidRPr="00984B11" w:rsidRDefault="00415993" w:rsidP="00462F67">
            <w:pPr>
              <w:rPr>
                <w:sz w:val="20"/>
                <w:szCs w:val="20"/>
                <w:lang w:val="ca-ES" w:eastAsia="es-ES"/>
              </w:rPr>
            </w:pPr>
          </w:p>
          <w:p w14:paraId="0390EF19" w14:textId="77777777" w:rsidR="00415993" w:rsidRPr="00984B11" w:rsidRDefault="00415993" w:rsidP="00462F67">
            <w:pPr>
              <w:rPr>
                <w:sz w:val="20"/>
                <w:szCs w:val="20"/>
                <w:lang w:val="ca-ES" w:eastAsia="es-ES"/>
              </w:rPr>
            </w:pPr>
            <w:r w:rsidRPr="00984B11">
              <w:rPr>
                <w:sz w:val="20"/>
                <w:szCs w:val="20"/>
                <w:lang w:val="ca-ES" w:eastAsia="es-ES"/>
              </w:rPr>
              <w:t>150,00 €</w:t>
            </w:r>
          </w:p>
        </w:tc>
      </w:tr>
    </w:tbl>
    <w:p w14:paraId="00CA5F2B" w14:textId="77777777" w:rsidR="00415993" w:rsidRPr="00F9410E" w:rsidRDefault="00415993" w:rsidP="00462F67">
      <w:pPr>
        <w:rPr>
          <w:lang w:val="ca-ES" w:eastAsia="es-ES"/>
        </w:rPr>
      </w:pPr>
    </w:p>
    <w:p w14:paraId="6EB19463" w14:textId="77777777" w:rsidR="00415993" w:rsidRDefault="00415993" w:rsidP="00462F67">
      <w:pPr>
        <w:rPr>
          <w:rFonts w:cs="Arial"/>
          <w:lang w:val="ca-ES"/>
        </w:rPr>
      </w:pPr>
      <w:r w:rsidRPr="00F9410E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2D969AC5" w14:textId="77777777" w:rsidR="00415993" w:rsidRPr="00415993" w:rsidRDefault="00415993" w:rsidP="00415993">
      <w:pPr>
        <w:rPr>
          <w:rFonts w:cs="Arial"/>
          <w:lang w:val="ca-ES"/>
        </w:rPr>
      </w:pPr>
      <w:bookmarkStart w:id="26" w:name="DOCUMENTO_5661763"/>
      <w:bookmarkStart w:id="27" w:name="DOCUMENTO_5732296"/>
      <w:bookmarkEnd w:id="25"/>
      <w:bookmarkEnd w:id="26"/>
      <w:bookmarkEnd w:id="27"/>
    </w:p>
    <w:p w14:paraId="05BC3FE0" w14:textId="77777777" w:rsidR="00A3619C" w:rsidRDefault="00A3619C" w:rsidP="00A3619C">
      <w:pPr>
        <w:rPr>
          <w:rFonts w:cs="Arial"/>
          <w:lang w:val="ca-ES"/>
        </w:rPr>
      </w:pPr>
      <w:r>
        <w:rPr>
          <w:rFonts w:cs="Arial"/>
          <w:b/>
          <w:lang w:val="ca-ES"/>
        </w:rPr>
        <w:t>11.0.- RESOLUCIÓ DEFINITIVA D’EXPEDIENT SANCIONADOR PER INFRACCIÓ DE LES ORDENANCES REGULADORES DE POLICIA I BON GOVERN (X2019003917)</w:t>
      </w:r>
    </w:p>
    <w:p w14:paraId="21EB32B8" w14:textId="77777777" w:rsidR="00A3619C" w:rsidRDefault="00A3619C" w:rsidP="00A3619C">
      <w:pPr>
        <w:rPr>
          <w:rFonts w:cs="Arial"/>
          <w:lang w:val="ca-ES"/>
        </w:rPr>
      </w:pPr>
    </w:p>
    <w:p w14:paraId="555FA62B" w14:textId="77777777" w:rsidR="00A3619C" w:rsidRPr="002602EF" w:rsidRDefault="00A3619C" w:rsidP="006127FF">
      <w:pPr>
        <w:rPr>
          <w:b/>
          <w:kern w:val="22"/>
          <w:lang w:val="ca-ES" w:eastAsia="es-ES"/>
        </w:rPr>
      </w:pPr>
      <w:bookmarkStart w:id="28" w:name="X2019003917"/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5176A692" w14:textId="77777777" w:rsidR="00A3619C" w:rsidRPr="002602EF" w:rsidRDefault="00A3619C" w:rsidP="006127FF">
      <w:pPr>
        <w:rPr>
          <w:highlight w:val="yellow"/>
          <w:lang w:val="ca-ES" w:eastAsia="es-ES"/>
        </w:rPr>
      </w:pPr>
    </w:p>
    <w:p w14:paraId="4FE11EE8" w14:textId="77777777" w:rsidR="00A3619C" w:rsidRPr="00BD651D" w:rsidRDefault="00A3619C" w:rsidP="006127FF">
      <w:pPr>
        <w:rPr>
          <w:lang w:val="ca-ES" w:eastAsia="es-ES"/>
        </w:rPr>
      </w:pPr>
      <w:r w:rsidRPr="00BD651D">
        <w:rPr>
          <w:lang w:val="ca-ES" w:eastAsia="es-ES"/>
        </w:rPr>
        <w:t>Primer. Imposar la sanció de multa a l’expedient sancionador que es relaciona en el següent llistat, pels fets, infracció i import que així mateix es fan constar:</w:t>
      </w:r>
    </w:p>
    <w:p w14:paraId="0A6B8B64" w14:textId="77777777" w:rsidR="00A3619C" w:rsidRPr="00BD651D" w:rsidRDefault="00A3619C" w:rsidP="006127FF">
      <w:pPr>
        <w:rPr>
          <w:lang w:val="ca-ES" w:eastAsia="es-E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116"/>
        <w:gridCol w:w="1880"/>
        <w:gridCol w:w="3217"/>
        <w:gridCol w:w="1251"/>
      </w:tblGrid>
      <w:tr w:rsidR="00BE7E3A" w:rsidRPr="00BD651D" w14:paraId="06A3EE42" w14:textId="77777777" w:rsidTr="006127FF">
        <w:trPr>
          <w:jc w:val="center"/>
        </w:trPr>
        <w:tc>
          <w:tcPr>
            <w:tcW w:w="1281" w:type="dxa"/>
            <w:shd w:val="clear" w:color="auto" w:fill="D9D9D9"/>
          </w:tcPr>
          <w:p w14:paraId="5ACF3E63" w14:textId="77777777" w:rsidR="00A3619C" w:rsidRPr="00BD651D" w:rsidRDefault="00A3619C" w:rsidP="006127FF">
            <w:pPr>
              <w:rPr>
                <w:lang w:val="ca-ES" w:eastAsia="es-ES"/>
              </w:rPr>
            </w:pPr>
            <w:r w:rsidRPr="00BD651D">
              <w:rPr>
                <w:lang w:val="ca-ES" w:eastAsia="es-ES"/>
              </w:rPr>
              <w:t xml:space="preserve"> Referència  expedient</w:t>
            </w:r>
          </w:p>
        </w:tc>
        <w:tc>
          <w:tcPr>
            <w:tcW w:w="1123" w:type="dxa"/>
            <w:shd w:val="clear" w:color="auto" w:fill="D9D9D9"/>
          </w:tcPr>
          <w:p w14:paraId="5B994B9B" w14:textId="77777777" w:rsidR="00A3619C" w:rsidRPr="00BD651D" w:rsidRDefault="00A3619C" w:rsidP="006127FF">
            <w:pPr>
              <w:rPr>
                <w:lang w:val="ca-ES" w:eastAsia="es-ES"/>
              </w:rPr>
            </w:pPr>
            <w:r w:rsidRPr="00BD651D">
              <w:rPr>
                <w:lang w:val="ca-ES" w:eastAsia="es-ES"/>
              </w:rPr>
              <w:t>Infractor</w:t>
            </w:r>
          </w:p>
        </w:tc>
        <w:tc>
          <w:tcPr>
            <w:tcW w:w="1923" w:type="dxa"/>
            <w:shd w:val="clear" w:color="auto" w:fill="D9D9D9"/>
          </w:tcPr>
          <w:p w14:paraId="22F66BE0" w14:textId="77777777" w:rsidR="00A3619C" w:rsidRPr="00BD651D" w:rsidRDefault="00A3619C" w:rsidP="006127FF">
            <w:pPr>
              <w:rPr>
                <w:lang w:val="ca-ES" w:eastAsia="es-ES"/>
              </w:rPr>
            </w:pPr>
            <w:r w:rsidRPr="00BD651D">
              <w:rPr>
                <w:lang w:val="ca-ES" w:eastAsia="es-ES"/>
              </w:rPr>
              <w:t>Denuncia, data i lloc</w:t>
            </w:r>
          </w:p>
        </w:tc>
        <w:tc>
          <w:tcPr>
            <w:tcW w:w="3325" w:type="dxa"/>
            <w:shd w:val="clear" w:color="auto" w:fill="D9D9D9"/>
          </w:tcPr>
          <w:p w14:paraId="62953FCC" w14:textId="77777777" w:rsidR="00A3619C" w:rsidRPr="00BD651D" w:rsidRDefault="00A3619C" w:rsidP="006127FF">
            <w:pPr>
              <w:rPr>
                <w:lang w:val="ca-ES" w:eastAsia="es-ES"/>
              </w:rPr>
            </w:pPr>
            <w:r w:rsidRPr="00BD651D">
              <w:rPr>
                <w:lang w:val="ca-ES" w:eastAsia="es-ES"/>
              </w:rPr>
              <w:t>Fet i article infringit</w:t>
            </w:r>
          </w:p>
        </w:tc>
        <w:tc>
          <w:tcPr>
            <w:tcW w:w="1274" w:type="dxa"/>
            <w:shd w:val="clear" w:color="auto" w:fill="D9D9D9"/>
          </w:tcPr>
          <w:p w14:paraId="12BD63A2" w14:textId="77777777" w:rsidR="00A3619C" w:rsidRPr="00BD651D" w:rsidRDefault="00A3619C" w:rsidP="006127FF">
            <w:pPr>
              <w:rPr>
                <w:lang w:val="ca-ES" w:eastAsia="es-ES"/>
              </w:rPr>
            </w:pPr>
            <w:r w:rsidRPr="00BD651D">
              <w:rPr>
                <w:lang w:val="ca-ES" w:eastAsia="es-ES"/>
              </w:rPr>
              <w:t>Sanció €</w:t>
            </w:r>
          </w:p>
        </w:tc>
      </w:tr>
      <w:tr w:rsidR="00A3619C" w:rsidRPr="00BD651D" w14:paraId="1A179C8B" w14:textId="77777777" w:rsidTr="006127FF">
        <w:trPr>
          <w:trHeight w:val="1986"/>
          <w:jc w:val="center"/>
        </w:trPr>
        <w:tc>
          <w:tcPr>
            <w:tcW w:w="1281" w:type="dxa"/>
          </w:tcPr>
          <w:p w14:paraId="59F81A7D" w14:textId="77777777" w:rsidR="00A3619C" w:rsidRPr="00BD651D" w:rsidRDefault="00A3619C" w:rsidP="006127FF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BD651D">
              <w:rPr>
                <w:sz w:val="20"/>
                <w:szCs w:val="20"/>
                <w:lang w:val="ca-ES" w:eastAsia="es-ES"/>
              </w:rPr>
              <w:t>X2019003917</w:t>
            </w:r>
          </w:p>
          <w:p w14:paraId="1E1D1650" w14:textId="77777777" w:rsidR="00A3619C" w:rsidRPr="00BD651D" w:rsidRDefault="00A3619C" w:rsidP="006127FF">
            <w:pPr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123" w:type="dxa"/>
          </w:tcPr>
          <w:p w14:paraId="5CEDB9ED" w14:textId="0303936A" w:rsidR="00A3619C" w:rsidRPr="00BD651D" w:rsidRDefault="00A3619C" w:rsidP="006127FF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BD651D">
              <w:rPr>
                <w:rFonts w:cs="Arial"/>
                <w:sz w:val="20"/>
                <w:szCs w:val="20"/>
                <w:lang w:val="ca-ES" w:eastAsia="es-ES"/>
              </w:rPr>
              <w:t>E</w:t>
            </w:r>
            <w:r w:rsidR="00BE7E3A">
              <w:rPr>
                <w:rFonts w:cs="Arial"/>
                <w:sz w:val="20"/>
                <w:szCs w:val="20"/>
                <w:lang w:val="ca-ES" w:eastAsia="es-ES"/>
              </w:rPr>
              <w:t>.M.F.</w:t>
            </w:r>
          </w:p>
        </w:tc>
        <w:tc>
          <w:tcPr>
            <w:tcW w:w="1923" w:type="dxa"/>
          </w:tcPr>
          <w:p w14:paraId="2702A226" w14:textId="77777777" w:rsidR="00A3619C" w:rsidRPr="00BD651D" w:rsidRDefault="00A3619C" w:rsidP="006127FF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BD651D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Denúncia 1235 de data 15.08.2019 a  pl. Mossèn Teixidor, s/n</w:t>
            </w:r>
          </w:p>
        </w:tc>
        <w:tc>
          <w:tcPr>
            <w:tcW w:w="3325" w:type="dxa"/>
          </w:tcPr>
          <w:p w14:paraId="2B13589C" w14:textId="77777777" w:rsidR="00A3619C" w:rsidRPr="00BD651D" w:rsidRDefault="00A3619C" w:rsidP="006127FF">
            <w:pPr>
              <w:rPr>
                <w:rFonts w:cs="Arial"/>
                <w:sz w:val="20"/>
                <w:szCs w:val="20"/>
                <w:lang w:val="ca-ES" w:eastAsia="es-ES"/>
              </w:rPr>
            </w:pPr>
            <w:r w:rsidRPr="00BD651D">
              <w:rPr>
                <w:rFonts w:eastAsia="Times New Roman" w:cs="Arial"/>
                <w:kern w:val="22"/>
                <w:sz w:val="20"/>
                <w:szCs w:val="20"/>
                <w:lang w:val="ca-ES" w:eastAsia="es-ES"/>
              </w:rPr>
              <w:t>No fer un bon  ús de l’espai públic, embrutar el parc. (Deteriorament d’espais i bens públics) Art. 16 Infracció lleu</w:t>
            </w:r>
          </w:p>
        </w:tc>
        <w:tc>
          <w:tcPr>
            <w:tcW w:w="1274" w:type="dxa"/>
          </w:tcPr>
          <w:p w14:paraId="203B131E" w14:textId="77777777" w:rsidR="00A3619C" w:rsidRPr="00BD651D" w:rsidRDefault="00A3619C" w:rsidP="006127FF">
            <w:pPr>
              <w:rPr>
                <w:sz w:val="20"/>
                <w:szCs w:val="20"/>
                <w:lang w:val="ca-ES" w:eastAsia="es-ES"/>
              </w:rPr>
            </w:pPr>
          </w:p>
          <w:p w14:paraId="15593374" w14:textId="77777777" w:rsidR="00A3619C" w:rsidRPr="00BD651D" w:rsidRDefault="00A3619C" w:rsidP="006127FF">
            <w:pPr>
              <w:rPr>
                <w:sz w:val="20"/>
                <w:szCs w:val="20"/>
                <w:lang w:val="ca-ES" w:eastAsia="es-ES"/>
              </w:rPr>
            </w:pPr>
            <w:r w:rsidRPr="00BD651D">
              <w:rPr>
                <w:sz w:val="20"/>
                <w:szCs w:val="20"/>
                <w:lang w:val="ca-ES" w:eastAsia="es-ES"/>
              </w:rPr>
              <w:t>110,00 €</w:t>
            </w:r>
          </w:p>
        </w:tc>
      </w:tr>
    </w:tbl>
    <w:p w14:paraId="16DD4B34" w14:textId="77777777" w:rsidR="00A3619C" w:rsidRPr="00BD651D" w:rsidRDefault="00A3619C" w:rsidP="006127FF">
      <w:pPr>
        <w:rPr>
          <w:lang w:val="ca-ES" w:eastAsia="es-ES"/>
        </w:rPr>
      </w:pPr>
    </w:p>
    <w:p w14:paraId="429AC10A" w14:textId="77777777" w:rsidR="00A3619C" w:rsidRDefault="00A3619C" w:rsidP="006127FF">
      <w:pPr>
        <w:rPr>
          <w:rFonts w:cs="Arial"/>
          <w:lang w:val="ca-ES"/>
        </w:rPr>
      </w:pPr>
      <w:r w:rsidRPr="00BD651D">
        <w:rPr>
          <w:lang w:val="ca-ES" w:eastAsia="es-ES"/>
        </w:rPr>
        <w:t>Segon. Notificar aquesta resolució a la persona interessada indicant els terminis i forma de pagament així com els recursos que es poden interposar</w:t>
      </w:r>
    </w:p>
    <w:p w14:paraId="45EC6A7C" w14:textId="77777777" w:rsidR="00A3619C" w:rsidRDefault="00A3619C" w:rsidP="0025654E">
      <w:pPr>
        <w:rPr>
          <w:lang w:val="ca-ES"/>
        </w:rPr>
      </w:pPr>
      <w:bookmarkStart w:id="29" w:name="DOCUMENTO_5661452"/>
      <w:bookmarkEnd w:id="29"/>
    </w:p>
    <w:p w14:paraId="19BDE653" w14:textId="77777777" w:rsidR="00A3619C" w:rsidRPr="00A3619C" w:rsidRDefault="00A3619C" w:rsidP="00A3619C">
      <w:pPr>
        <w:rPr>
          <w:rFonts w:cs="Arial"/>
          <w:lang w:val="ca-ES"/>
        </w:rPr>
      </w:pPr>
      <w:bookmarkStart w:id="30" w:name="DOCUMENTO_5732303"/>
      <w:bookmarkEnd w:id="28"/>
      <w:bookmarkEnd w:id="30"/>
    </w:p>
    <w:p w14:paraId="2539B860" w14:textId="77777777" w:rsidR="00AD3E05" w:rsidRDefault="00AD3E05" w:rsidP="00AD3E05">
      <w:pPr>
        <w:rPr>
          <w:rFonts w:cs="Arial"/>
          <w:lang w:val="ca-ES"/>
        </w:rPr>
      </w:pPr>
      <w:r>
        <w:rPr>
          <w:rFonts w:cs="Arial"/>
          <w:b/>
          <w:lang w:val="ca-ES"/>
        </w:rPr>
        <w:t>12.0.- SOBRESEÏMENT D’EXPEDIENT SANCIONADOR DE TRÀNSIT 16234-P EXP. X2020000168</w:t>
      </w:r>
    </w:p>
    <w:p w14:paraId="3262F386" w14:textId="77777777" w:rsidR="00AD3E05" w:rsidRPr="00B3336F" w:rsidRDefault="00AD3E05" w:rsidP="00E34BE8">
      <w:pPr>
        <w:rPr>
          <w:b/>
          <w:lang w:val="ca-ES"/>
        </w:rPr>
      </w:pPr>
      <w:bookmarkStart w:id="31" w:name="X2020000168"/>
    </w:p>
    <w:p w14:paraId="7BC13819" w14:textId="77777777" w:rsidR="00AD3E05" w:rsidRPr="002602EF" w:rsidRDefault="00AD3E05" w:rsidP="00E34BE8">
      <w:pPr>
        <w:rPr>
          <w:b/>
          <w:kern w:val="22"/>
          <w:lang w:val="ca-ES" w:eastAsia="es-ES"/>
        </w:rPr>
      </w:pPr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3E920F31" w14:textId="77777777" w:rsidR="00AD3E05" w:rsidRPr="002602EF" w:rsidRDefault="00AD3E05" w:rsidP="00E34BE8">
      <w:pPr>
        <w:rPr>
          <w:highlight w:val="yellow"/>
          <w:lang w:val="ca-ES" w:eastAsia="es-ES"/>
        </w:rPr>
      </w:pPr>
    </w:p>
    <w:p w14:paraId="045DAB3D" w14:textId="77777777" w:rsidR="00AD3E05" w:rsidRPr="00B3336F" w:rsidRDefault="00AD3E05" w:rsidP="00E34BE8">
      <w:pPr>
        <w:pStyle w:val="Normal10"/>
        <w:rPr>
          <w:rFonts w:cs="Arial"/>
          <w:szCs w:val="22"/>
        </w:rPr>
      </w:pPr>
      <w:r w:rsidRPr="00B3336F">
        <w:rPr>
          <w:rFonts w:cs="Arial"/>
          <w:szCs w:val="22"/>
        </w:rPr>
        <w:t>PRIMER.- Deixar sense efecte l’expedient sancionador que es relaciona a la capçalera d’aquest document, incoat per les infracció de circulació, sobreseient el mateix i procedint al seu arxivament, sense declaració de responsabilitat, així com la devolució, si s’escau de l’import de la sanció.</w:t>
      </w:r>
    </w:p>
    <w:p w14:paraId="187EEDDF" w14:textId="77777777" w:rsidR="00AD3E05" w:rsidRPr="00B3336F" w:rsidRDefault="00AD3E05" w:rsidP="00E34BE8">
      <w:pPr>
        <w:pStyle w:val="Normal10"/>
        <w:rPr>
          <w:rFonts w:cs="Arial"/>
          <w:szCs w:val="22"/>
        </w:rPr>
      </w:pPr>
      <w:r w:rsidRPr="00B3336F">
        <w:rPr>
          <w:rFonts w:cs="Arial"/>
          <w:szCs w:val="22"/>
        </w:rPr>
        <w:lastRenderedPageBreak/>
        <w:t>SEGON.- Comunicar la present resolució a l'Organisme de gestió tributària de la Diputació de Barcelona, d'acord amb el conveni vigent, per tal que procedeixi a la notificació de la mateixa a les persones interessades, i a la devolució, si s’escau de l’import recaptat en concepte de la sanció</w:t>
      </w:r>
      <w:r>
        <w:rPr>
          <w:rFonts w:cs="Arial"/>
          <w:szCs w:val="22"/>
        </w:rPr>
        <w:t>.</w:t>
      </w:r>
    </w:p>
    <w:p w14:paraId="58784C04" w14:textId="77777777" w:rsidR="00AD3E05" w:rsidRDefault="00AD3E05" w:rsidP="00E34BE8">
      <w:pPr>
        <w:rPr>
          <w:rFonts w:cs="Arial"/>
          <w:lang w:val="ca-ES"/>
        </w:rPr>
      </w:pPr>
    </w:p>
    <w:p w14:paraId="1A0924A6" w14:textId="77777777" w:rsidR="003A2C74" w:rsidRDefault="003A2C74" w:rsidP="003A2C74">
      <w:pPr>
        <w:rPr>
          <w:rFonts w:cs="Arial"/>
          <w:lang w:val="ca-ES"/>
        </w:rPr>
      </w:pPr>
      <w:bookmarkStart w:id="32" w:name="DOCUMENTO_5652364"/>
      <w:bookmarkStart w:id="33" w:name="DOCUMENTO_5732312"/>
      <w:bookmarkEnd w:id="31"/>
      <w:bookmarkEnd w:id="32"/>
      <w:bookmarkEnd w:id="33"/>
      <w:r>
        <w:rPr>
          <w:rFonts w:cs="Arial"/>
          <w:b/>
          <w:lang w:val="ca-ES"/>
        </w:rPr>
        <w:t>13.0.- DEVOLUCIÓ DE LA FIANÇA QUE GARANTEIX LA RETIRADA DE LES INSTAL·LACIONS I DELS SEUS COMPONENTS PER EXPLOTACIÓ DEL QUIOSC NÚMERO 5 SITUAT A LA PLATJA, TEMPORADA 2019, A PLOU SENSE CONEIXEMENT, S.L. EXP. X2018000714</w:t>
      </w:r>
    </w:p>
    <w:p w14:paraId="6BCFBD0F" w14:textId="77777777" w:rsidR="003A2C74" w:rsidRDefault="003A2C74" w:rsidP="003A2C74">
      <w:pPr>
        <w:rPr>
          <w:rFonts w:cs="Arial"/>
          <w:lang w:val="ca-ES"/>
        </w:rPr>
      </w:pPr>
    </w:p>
    <w:p w14:paraId="77366EAD" w14:textId="11689B90" w:rsidR="003A2C74" w:rsidRPr="0078551D" w:rsidRDefault="003A2C74" w:rsidP="0066425B">
      <w:pPr>
        <w:spacing w:before="120" w:after="120"/>
        <w:rPr>
          <w:b/>
          <w:kern w:val="22"/>
          <w:lang w:val="ca-ES" w:eastAsia="es-ES"/>
        </w:rPr>
      </w:pPr>
      <w:bookmarkStart w:id="34" w:name="X2018000714"/>
      <w:r w:rsidRPr="0078551D">
        <w:rPr>
          <w:kern w:val="22"/>
          <w:lang w:val="ca-ES" w:eastAsia="es-ES"/>
        </w:rPr>
        <w:t>S’ACORDA</w:t>
      </w:r>
      <w:r w:rsidRPr="0078551D">
        <w:rPr>
          <w:b/>
          <w:kern w:val="22"/>
          <w:lang w:val="ca-ES" w:eastAsia="es-ES"/>
        </w:rPr>
        <w:t>:  </w:t>
      </w:r>
    </w:p>
    <w:p w14:paraId="7E40C84C" w14:textId="77777777" w:rsidR="003A2C74" w:rsidRPr="0078551D" w:rsidRDefault="003A2C74" w:rsidP="0066425B">
      <w:pPr>
        <w:spacing w:before="120" w:after="120"/>
        <w:rPr>
          <w:lang w:val="ca-ES" w:eastAsia="es-ES"/>
        </w:rPr>
      </w:pPr>
      <w:r w:rsidRPr="0078551D">
        <w:rPr>
          <w:lang w:val="ca-ES"/>
        </w:rPr>
        <w:t xml:space="preserve">Primer. Retornar la fiança de 750,00 euros que garanteix la retirada de les instal·lacions i dels seus components per explotació del quiosc número 5 situat a la platja, temporada 2019, INP operació 320180001743, a nom de PLOU SENSE CONEIXEMENT, S.L. </w:t>
      </w:r>
      <w:r w:rsidRPr="0078551D">
        <w:rPr>
          <w:lang w:val="ca-ES" w:eastAsia="es-ES"/>
        </w:rPr>
        <w:t xml:space="preserve">Per la present, de conformitat amb els preceptes citats anteriorment i altres de procedent i general aplicació, i en exercici de les atribucions delegades per decret d’alcaldia </w:t>
      </w:r>
      <w:r w:rsidRPr="0078551D">
        <w:rPr>
          <w:lang w:val="ca-ES" w:eastAsia="ca-ES"/>
        </w:rPr>
        <w:t>1775/2019, de 27 de Juny</w:t>
      </w:r>
      <w:r w:rsidRPr="0078551D">
        <w:rPr>
          <w:lang w:val="ca-ES" w:eastAsia="es-ES"/>
        </w:rPr>
        <w:t xml:space="preserve">, </w:t>
      </w:r>
    </w:p>
    <w:p w14:paraId="165109B7" w14:textId="77777777" w:rsidR="003A2C74" w:rsidRPr="0078551D" w:rsidRDefault="003A2C74" w:rsidP="0066425B">
      <w:pPr>
        <w:spacing w:before="120" w:after="120"/>
        <w:rPr>
          <w:rFonts w:cs="Arial"/>
          <w:lang w:val="ca-ES"/>
        </w:rPr>
      </w:pPr>
      <w:r w:rsidRPr="0078551D">
        <w:rPr>
          <w:lang w:val="ca-ES" w:eastAsia="es-ES"/>
        </w:rPr>
        <w:t xml:space="preserve">Segon. Notificar el present acord a l’interessat. </w:t>
      </w:r>
    </w:p>
    <w:p w14:paraId="3DEE7FEE" w14:textId="77777777" w:rsidR="003A2C74" w:rsidRDefault="003A2C74" w:rsidP="0025654E">
      <w:pPr>
        <w:rPr>
          <w:lang w:val="ca-ES"/>
        </w:rPr>
      </w:pPr>
      <w:bookmarkStart w:id="35" w:name="DOCUMENTO_5674920"/>
      <w:bookmarkEnd w:id="35"/>
    </w:p>
    <w:p w14:paraId="01AEAE1F" w14:textId="77777777" w:rsidR="003A2C74" w:rsidRDefault="003A2C74" w:rsidP="003A2C74">
      <w:pPr>
        <w:rPr>
          <w:rFonts w:cs="Arial"/>
          <w:b/>
          <w:lang w:val="ca-ES"/>
        </w:rPr>
      </w:pPr>
      <w:bookmarkStart w:id="36" w:name="DOCUMENTO_5732320"/>
      <w:bookmarkEnd w:id="34"/>
      <w:bookmarkEnd w:id="36"/>
      <w:r>
        <w:rPr>
          <w:rFonts w:cs="Arial"/>
          <w:b/>
          <w:lang w:val="ca-ES"/>
        </w:rPr>
        <w:t>14.0.- FORA DE L'ORDRE DEL DIA</w:t>
      </w:r>
    </w:p>
    <w:p w14:paraId="255A9AE1" w14:textId="77777777" w:rsidR="00CA0EFE" w:rsidRDefault="00CA0EFE" w:rsidP="003A2C74">
      <w:pPr>
        <w:rPr>
          <w:rFonts w:cs="Arial"/>
          <w:b/>
          <w:lang w:val="ca-ES"/>
        </w:rPr>
      </w:pPr>
    </w:p>
    <w:p w14:paraId="1FF46563" w14:textId="77777777" w:rsidR="00CA0EFE" w:rsidRPr="00CA0EFE" w:rsidRDefault="00CA0EFE" w:rsidP="00CA0EFE">
      <w:pPr>
        <w:spacing w:before="120" w:after="120"/>
        <w:rPr>
          <w:lang w:val="ca-ES"/>
        </w:rPr>
      </w:pPr>
      <w:r w:rsidRPr="00CA0EFE">
        <w:rPr>
          <w:lang w:val="ca-ES"/>
        </w:rPr>
        <w:t>No hi ha assumptes fora de l’ordre del dia</w:t>
      </w:r>
    </w:p>
    <w:p w14:paraId="7DE2418E" w14:textId="77777777" w:rsidR="003A2C74" w:rsidRDefault="003A2C74" w:rsidP="003A2C74">
      <w:pPr>
        <w:rPr>
          <w:rFonts w:cs="Arial"/>
          <w:lang w:val="ca-ES"/>
        </w:rPr>
      </w:pPr>
    </w:p>
    <w:p w14:paraId="6BF9E66F" w14:textId="77777777" w:rsidR="003A2C74" w:rsidRDefault="003A2C74" w:rsidP="003A2C74">
      <w:pPr>
        <w:rPr>
          <w:rFonts w:cs="Arial"/>
          <w:lang w:val="ca-ES"/>
        </w:rPr>
      </w:pPr>
      <w:r>
        <w:rPr>
          <w:rFonts w:cs="Arial"/>
          <w:b/>
          <w:lang w:val="ca-ES"/>
        </w:rPr>
        <w:t>15.0.- DONAR COMPTE DELS DECRETS D'ALCALDIA DES DEL NÚM. 25/2020 AL NÚM. 129/2020</w:t>
      </w:r>
    </w:p>
    <w:p w14:paraId="6D0A2848" w14:textId="77777777" w:rsidR="003A2C74" w:rsidRDefault="003A2C74" w:rsidP="003A2C74">
      <w:pPr>
        <w:rPr>
          <w:rFonts w:cs="Arial"/>
          <w:lang w:val="ca-ES"/>
        </w:rPr>
      </w:pPr>
    </w:p>
    <w:p w14:paraId="39B84B04" w14:textId="77777777" w:rsidR="00CA0EFE" w:rsidRPr="006975A5" w:rsidRDefault="00CA0EFE" w:rsidP="00CA0EFE">
      <w:pPr>
        <w:pStyle w:val="Default"/>
        <w:rPr>
          <w:sz w:val="22"/>
          <w:szCs w:val="22"/>
        </w:rPr>
      </w:pPr>
      <w:bookmarkStart w:id="37" w:name="_Hlk527398123"/>
      <w:proofErr w:type="spellStart"/>
      <w:r>
        <w:rPr>
          <w:sz w:val="22"/>
          <w:szCs w:val="22"/>
        </w:rPr>
        <w:t>Els</w:t>
      </w:r>
      <w:proofErr w:type="spellEnd"/>
      <w:r>
        <w:rPr>
          <w:sz w:val="22"/>
          <w:szCs w:val="22"/>
        </w:rPr>
        <w:t xml:space="preserve"> membres de la Junta de Govern Local es donen per </w:t>
      </w:r>
      <w:proofErr w:type="spellStart"/>
      <w:r>
        <w:rPr>
          <w:sz w:val="22"/>
          <w:szCs w:val="22"/>
        </w:rPr>
        <w:t>assabentats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Decrets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l'Alcaldia</w:t>
      </w:r>
      <w:proofErr w:type="spellEnd"/>
      <w:r>
        <w:rPr>
          <w:sz w:val="22"/>
          <w:szCs w:val="22"/>
        </w:rPr>
        <w:t xml:space="preserve">, des del número 25/2020 </w:t>
      </w:r>
      <w:proofErr w:type="spellStart"/>
      <w:r>
        <w:rPr>
          <w:sz w:val="22"/>
          <w:szCs w:val="22"/>
        </w:rPr>
        <w:t>fins</w:t>
      </w:r>
      <w:proofErr w:type="spellEnd"/>
      <w:r>
        <w:rPr>
          <w:sz w:val="22"/>
          <w:szCs w:val="22"/>
        </w:rPr>
        <w:t xml:space="preserve"> al 129/2020</w:t>
      </w:r>
      <w:bookmarkEnd w:id="37"/>
      <w:r>
        <w:rPr>
          <w:sz w:val="22"/>
          <w:szCs w:val="22"/>
        </w:rPr>
        <w:t>.</w:t>
      </w:r>
    </w:p>
    <w:p w14:paraId="6E22B1D7" w14:textId="77777777" w:rsidR="003A2C74" w:rsidRPr="00CA0EFE" w:rsidRDefault="003A2C74" w:rsidP="003A2C74">
      <w:pPr>
        <w:rPr>
          <w:rFonts w:cs="Arial"/>
        </w:rPr>
      </w:pPr>
    </w:p>
    <w:p w14:paraId="440D79B2" w14:textId="77777777" w:rsidR="00821143" w:rsidRDefault="00821143" w:rsidP="00821143">
      <w:pPr>
        <w:rPr>
          <w:rFonts w:cs="Arial"/>
          <w:lang w:val="ca-ES"/>
        </w:rPr>
      </w:pPr>
    </w:p>
    <w:p w14:paraId="54026D6A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7C2C6DD8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62211A">
        <w:rPr>
          <w:rFonts w:eastAsia="Times New Roman"/>
          <w:lang w:val="ca-ES" w:eastAsia="es-ES"/>
        </w:rPr>
        <w:t>ària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4F7EFEB7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55FE8713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A98D" w14:textId="77777777" w:rsidR="00497FCD" w:rsidRDefault="00497FCD" w:rsidP="00821143">
      <w:r>
        <w:separator/>
      </w:r>
    </w:p>
  </w:endnote>
  <w:endnote w:type="continuationSeparator" w:id="0">
    <w:p w14:paraId="24BA7E23" w14:textId="77777777" w:rsidR="00497FCD" w:rsidRDefault="00497FCD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058074"/>
      <w:docPartObj>
        <w:docPartGallery w:val="Page Numbers (Bottom of Page)"/>
        <w:docPartUnique/>
      </w:docPartObj>
    </w:sdtPr>
    <w:sdtEndPr/>
    <w:sdtContent>
      <w:p w14:paraId="113B0D4F" w14:textId="77777777" w:rsidR="00DE1D04" w:rsidRDefault="00DE1D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A4BA5" w14:textId="77777777" w:rsidR="00DE1D04" w:rsidRDefault="00DE1D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55A5" w14:textId="77777777" w:rsidR="00497FCD" w:rsidRDefault="00497FCD" w:rsidP="00821143">
      <w:r>
        <w:separator/>
      </w:r>
    </w:p>
  </w:footnote>
  <w:footnote w:type="continuationSeparator" w:id="0">
    <w:p w14:paraId="2AADFEE2" w14:textId="77777777" w:rsidR="00497FCD" w:rsidRDefault="00497FCD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6756" w14:textId="77777777" w:rsidR="00A90505" w:rsidRPr="009C579C" w:rsidRDefault="00A90505" w:rsidP="009C579C">
    <w:r>
      <w:rPr>
        <w:noProof/>
        <w:lang w:eastAsia="es-ES"/>
      </w:rPr>
      <w:drawing>
        <wp:inline distT="0" distB="0" distL="0" distR="0" wp14:anchorId="70D21A8A" wp14:editId="475111E0">
          <wp:extent cx="1885950" cy="904875"/>
          <wp:effectExtent l="0" t="0" r="0" b="9525"/>
          <wp:docPr id="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C33C6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1E0"/>
    <w:multiLevelType w:val="hybridMultilevel"/>
    <w:tmpl w:val="DFAEA5A0"/>
    <w:lvl w:ilvl="0" w:tplc="972E696C">
      <w:start w:val="4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528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4BF2"/>
    <w:rsid w:val="001960F4"/>
    <w:rsid w:val="001B385B"/>
    <w:rsid w:val="0024060F"/>
    <w:rsid w:val="002667BF"/>
    <w:rsid w:val="00296BE1"/>
    <w:rsid w:val="002D11D9"/>
    <w:rsid w:val="002F2D27"/>
    <w:rsid w:val="003A2C74"/>
    <w:rsid w:val="00415993"/>
    <w:rsid w:val="00477F4A"/>
    <w:rsid w:val="00497FCD"/>
    <w:rsid w:val="00525726"/>
    <w:rsid w:val="0057185D"/>
    <w:rsid w:val="005A2F98"/>
    <w:rsid w:val="0062211A"/>
    <w:rsid w:val="0066437A"/>
    <w:rsid w:val="0068693A"/>
    <w:rsid w:val="00737D4D"/>
    <w:rsid w:val="00741D99"/>
    <w:rsid w:val="00790B35"/>
    <w:rsid w:val="007B3E03"/>
    <w:rsid w:val="00821143"/>
    <w:rsid w:val="00821CA1"/>
    <w:rsid w:val="00856865"/>
    <w:rsid w:val="00867C82"/>
    <w:rsid w:val="008E1962"/>
    <w:rsid w:val="009D4DEF"/>
    <w:rsid w:val="00A3619C"/>
    <w:rsid w:val="00A632AE"/>
    <w:rsid w:val="00A90505"/>
    <w:rsid w:val="00AD3E05"/>
    <w:rsid w:val="00AE3ADE"/>
    <w:rsid w:val="00B20B9C"/>
    <w:rsid w:val="00B613E0"/>
    <w:rsid w:val="00B652CF"/>
    <w:rsid w:val="00BD02AE"/>
    <w:rsid w:val="00BD72F6"/>
    <w:rsid w:val="00BE7E3A"/>
    <w:rsid w:val="00CA0EFE"/>
    <w:rsid w:val="00D127FC"/>
    <w:rsid w:val="00D16F4F"/>
    <w:rsid w:val="00D55338"/>
    <w:rsid w:val="00DE1D04"/>
    <w:rsid w:val="00E213A3"/>
    <w:rsid w:val="00E70DD4"/>
    <w:rsid w:val="00E86726"/>
    <w:rsid w:val="00EA68D5"/>
    <w:rsid w:val="00FA3CE1"/>
    <w:rsid w:val="00FB5316"/>
    <w:rsid w:val="00FC15BF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593D"/>
  <w15:docId w15:val="{2DEFAEEF-23DC-4284-BDF0-9C216C45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A905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FA3CE1"/>
    <w:pPr>
      <w:spacing w:after="120"/>
      <w:jc w:val="left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3CE1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customStyle="1" w:styleId="Normal10">
    <w:name w:val="Normal1"/>
    <w:basedOn w:val="Normal"/>
    <w:link w:val="Normal1Car0"/>
    <w:rsid w:val="00AD3E05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AD3E05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2751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(X2019003557)</vt:lpstr>
    </vt:vector>
  </TitlesOfParts>
  <Company>OVH SAS</Company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(X2019003557)</dc:title>
  <dc:subject/>
  <dc:creator>averges</dc:creator>
  <cp:keywords/>
  <dc:description/>
  <cp:lastModifiedBy>YASMINA PEREZ BUSTOS,</cp:lastModifiedBy>
  <cp:revision>2</cp:revision>
  <dcterms:created xsi:type="dcterms:W3CDTF">2022-07-01T11:05:00Z</dcterms:created>
  <dcterms:modified xsi:type="dcterms:W3CDTF">2022-07-01T11:05:00Z</dcterms:modified>
</cp:coreProperties>
</file>